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441623-2026-00649</w:t>
      </w:r>
    </w:p>
    <w:p>
      <w:pPr>
        <w:pStyle w:val="null3"/>
        <w:jc w:val="center"/>
        <w:outlineLvl w:val="3"/>
      </w:pPr>
      <w:r>
        <w:rPr>
          <w:sz w:val="24"/>
          <w:b/>
        </w:rPr>
        <w:t>采购项目编号：</w:t>
      </w:r>
      <w:r>
        <w:rPr>
          <w:sz w:val="24"/>
          <w:b/>
        </w:rPr>
        <w:t>HYXQ20260402</w:t>
      </w:r>
    </w:p>
    <w:p>
      <w:pPr>
        <w:pStyle w:val="null3"/>
        <w:jc w:val="center"/>
        <w:outlineLvl w:val="3"/>
      </w:pPr>
      <w:r>
        <w:rPr>
          <w:sz w:val="24"/>
          <w:b/>
        </w:rPr>
        <w:t>项目名称：</w:t>
      </w:r>
      <w:r>
        <w:rPr>
          <w:sz w:val="24"/>
          <w:b/>
        </w:rPr>
        <w:t>2026年连平县食品抽检工作经费(二次)</w:t>
      </w:r>
    </w:p>
    <w:p>
      <w:pPr>
        <w:pStyle w:val="null3"/>
        <w:jc w:val="center"/>
        <w:outlineLvl w:val="3"/>
      </w:pPr>
      <w:r>
        <w:rPr>
          <w:sz w:val="24"/>
          <w:b/>
        </w:rPr>
        <w:t>采购人：</w:t>
      </w:r>
      <w:r>
        <w:rPr>
          <w:sz w:val="24"/>
          <w:b/>
        </w:rPr>
        <w:t>连平县市场监督管理局</w:t>
      </w:r>
    </w:p>
    <w:p>
      <w:pPr>
        <w:pStyle w:val="null3"/>
        <w:jc w:val="center"/>
        <w:outlineLvl w:val="3"/>
      </w:pPr>
      <w:r>
        <w:rPr>
          <w:sz w:val="24"/>
          <w:b/>
        </w:rPr>
        <w:t>采购代理机构：</w:t>
      </w:r>
      <w:r>
        <w:rPr>
          <w:sz w:val="24"/>
          <w:b/>
        </w:rPr>
        <w:t>河源市新启项目咨询管理有限公司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河源市新启项目咨询管理有限公司</w:t>
      </w:r>
      <w:r>
        <w:rPr/>
        <w:t>受</w:t>
      </w:r>
      <w:r>
        <w:rPr/>
        <w:t>连平县市场监督管理局</w:t>
      </w:r>
      <w:r>
        <w:rPr/>
        <w:t>的委托，采用</w:t>
      </w:r>
      <w:r>
        <w:rPr/>
        <w:t>竞争性磋商</w:t>
      </w:r>
      <w:r>
        <w:rPr/>
        <w:t>方式组织采购</w:t>
      </w:r>
      <w:r>
        <w:rPr/>
        <w:t>2026年连平县食品抽检工作经费(二次)</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2026年连平县食品抽检工作经费(二次)</w:t>
      </w:r>
    </w:p>
    <w:p>
      <w:pPr>
        <w:pStyle w:val="null3"/>
        <w:ind w:firstLine="480"/>
      </w:pPr>
      <w:r>
        <w:rPr/>
        <w:t>采购计划编号：</w:t>
      </w:r>
      <w:r>
        <w:rPr/>
        <w:t>441623-2026-00649</w:t>
      </w:r>
    </w:p>
    <w:p>
      <w:pPr>
        <w:pStyle w:val="null3"/>
        <w:ind w:firstLine="480"/>
      </w:pPr>
      <w:r>
        <w:rPr/>
        <w:t>采购项目编号：</w:t>
      </w:r>
      <w:r>
        <w:rPr/>
        <w:t>HYXQ20260402</w:t>
      </w:r>
    </w:p>
    <w:p>
      <w:pPr>
        <w:pStyle w:val="null3"/>
        <w:ind w:firstLine="480"/>
      </w:pPr>
      <w:r>
        <w:rPr/>
        <w:t>采购方式：</w:t>
      </w:r>
      <w:r>
        <w:rPr/>
        <w:t>竞争性磋商</w:t>
      </w:r>
    </w:p>
    <w:p>
      <w:pPr>
        <w:pStyle w:val="null3"/>
        <w:ind w:firstLine="480"/>
      </w:pPr>
      <w:r>
        <w:rPr/>
        <w:t>预算金额：</w:t>
      </w:r>
      <w:r>
        <w:rPr/>
        <w:t>226,468.61</w:t>
      </w:r>
      <w:r>
        <w:rPr/>
        <w:t>元</w:t>
      </w:r>
    </w:p>
    <w:p>
      <w:pPr>
        <w:pStyle w:val="null3"/>
        <w:outlineLvl w:val="3"/>
      </w:pPr>
      <w:r>
        <w:rPr>
          <w:sz w:val="24"/>
          <w:b/>
        </w:rPr>
        <w:t>2.项目内容及需求情况（采购项目技术规格、参数及要求）</w:t>
      </w:r>
    </w:p>
    <w:p>
      <w:pPr>
        <w:pStyle w:val="null3"/>
      </w:pPr>
      <w:r>
        <w:rPr/>
        <w:t>采购包1(流通环节):</w:t>
      </w:r>
    </w:p>
    <w:p>
      <w:pPr>
        <w:pStyle w:val="null3"/>
      </w:pPr>
      <w:r>
        <w:rPr/>
        <w:t>采购包预算金额：226,468.61元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技术测试和分析服务</w:t>
            </w:r>
          </w:p>
        </w:tc>
        <w:tc>
          <w:tcPr>
            <w:tcW w:type="dxa" w:w="2136"/>
          </w:tcPr>
          <w:p>
            <w:pPr>
              <w:pStyle w:val="null3"/>
            </w:pPr>
            <w:r>
              <w:rPr/>
              <w:t>流通环节</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本采购包接受联合体响应</w:t>
      </w:r>
    </w:p>
    <w:p>
      <w:pPr>
        <w:pStyle w:val="null3"/>
      </w:pPr>
      <w:r>
        <w:rPr/>
        <w:t>合同分包：不允许合同分包</w:t>
      </w:r>
    </w:p>
    <w:p>
      <w:pPr>
        <w:pStyle w:val="null3"/>
      </w:pPr>
      <w:r>
        <w:rPr/>
        <w:t>合同履行期限：一年，即自合同签订之日起一年期满</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1）具有独立承担民事责任的能力：具有独立承担民事责任能力的在中华人民共和国境内注册的法人或其他组织或自然人：提供有效的营业执照或事业法人登记证或身份证等相关证明文件</w:t>
      </w:r>
    </w:p>
    <w:p>
      <w:pPr>
        <w:pStyle w:val="null3"/>
      </w:pPr>
      <w:r>
        <w:rPr/>
        <w:t>2）有依法缴纳税收和社会保障资金的良好记录：提供资格条件承诺函</w:t>
      </w:r>
    </w:p>
    <w:p>
      <w:pPr>
        <w:pStyle w:val="null3"/>
      </w:pPr>
      <w:r>
        <w:rPr/>
        <w:t>3）具有良好的商业信誉和健全的财务会计制度：提供资格条件承诺函</w:t>
      </w:r>
    </w:p>
    <w:p>
      <w:pPr>
        <w:pStyle w:val="null3"/>
      </w:pPr>
      <w:r>
        <w:rPr/>
        <w:t>4）履行合同所必需的设备和专业技术能力：提供资格条件承诺函</w:t>
      </w:r>
    </w:p>
    <w:p>
      <w:pPr>
        <w:pStyle w:val="null3"/>
      </w:pPr>
      <w:r>
        <w:rPr/>
        <w:t>5）参加采购活动前3年内，在经营活动中没有重大违法记录：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采购包1（流通环节）：</w:t>
      </w:r>
      <w:r>
        <w:rPr/>
        <w:t>参与的供应商（联合体）服务全部由符合政策要求的中小企业承接（提供中小企业声明函）</w:t>
      </w:r>
    </w:p>
    <w:p>
      <w:pPr>
        <w:pStyle w:val="null3"/>
        <w:outlineLvl w:val="3"/>
      </w:pPr>
      <w:r>
        <w:rPr>
          <w:sz w:val="24"/>
          <w:b/>
        </w:rPr>
        <w:t>3.本项目特定的资格要求：</w:t>
      </w:r>
    </w:p>
    <w:p>
      <w:pPr>
        <w:pStyle w:val="null3"/>
      </w:pPr>
      <w:r>
        <w:rPr/>
        <w:t>采购包1（流通环节）：</w:t>
      </w:r>
    </w:p>
    <w:p>
      <w:pPr>
        <w:pStyle w:val="null3"/>
      </w:pPr>
      <w:r>
        <w:rPr/>
        <w:t>1)供应商在“中国执行信息公开网”（http://zxgk.court.gov.cn）未被列入“失信被执行人名单”；在“信用中国”网站（http://www.creditchina.gov.cn）未被列入“重大税收违法案件当事人”或“重大税收违法失信主体”记录名单；在中国政府采购网（http://www.ccgp.gov.cn）未被列入“政府采购严重违法失信行为记录名单”【提供资格条件承诺函】。</w:t>
      </w:r>
    </w:p>
    <w:p>
      <w:pPr>
        <w:pStyle w:val="null3"/>
      </w:pPr>
      <w:r>
        <w:rPr/>
        <w:t>2)供应商必须符合法律、行政法规规定的其他条件：（1）单位负责人为同一人或者存在直接控股、管理关系的不同供应商，不得参加同一合同项下的政府采购活动（提供声明函）； （2）为本项目提供整体设计、规范编制或者项目管理、监理、检测等服务的供应商，不得再参加本项目的采购活动（提供声明函）；</w:t>
      </w:r>
    </w:p>
    <w:p>
      <w:pPr>
        <w:pStyle w:val="null3"/>
      </w:pPr>
      <w:r>
        <w:rPr/>
        <w:t>3)响应供应商必须具有有效的食品检验机构资质认定证书（CMAF）或检验检测机构资质认定证书（CMA）；如国家另有规定，则适用其规定（提供证书扫描件）。</w:t>
      </w:r>
    </w:p>
    <w:p>
      <w:pPr>
        <w:pStyle w:val="null3"/>
      </w:pPr>
      <w:r>
        <w:rPr/>
        <w:t>4)本项目接受联合体响应，如为联合体响应时须提供联合体协议书。联合体协议书应明确约定各方拟承担的工作和责任。联合体各方签订联合体协议书后，不得再以自己名义单独响应或加入其他联合体在同一项目中进行响应，如有违反，其和与此有关的联合体的响应将被拒绝。</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连平县市场监督管理局</w:t>
      </w:r>
    </w:p>
    <w:p>
      <w:pPr>
        <w:pStyle w:val="null3"/>
        <w:ind w:firstLine="480"/>
      </w:pPr>
      <w:r>
        <w:rPr/>
        <w:t>地址：</w:t>
      </w:r>
      <w:r>
        <w:rPr/>
        <w:t>广东省河源市连平县元善镇九连新城开发区新河路</w:t>
      </w:r>
    </w:p>
    <w:p>
      <w:pPr>
        <w:pStyle w:val="null3"/>
        <w:ind w:firstLine="480"/>
      </w:pPr>
      <w:r>
        <w:rPr/>
        <w:t>联系方式：</w:t>
      </w:r>
      <w:r>
        <w:rPr/>
        <w:t>0762-4339737</w:t>
      </w:r>
    </w:p>
    <w:p>
      <w:pPr>
        <w:pStyle w:val="null3"/>
        <w:outlineLvl w:val="3"/>
      </w:pPr>
      <w:r>
        <w:rPr>
          <w:sz w:val="24"/>
          <w:b/>
        </w:rPr>
        <w:t>2.采购代理机构信息</w:t>
      </w:r>
    </w:p>
    <w:p>
      <w:pPr>
        <w:pStyle w:val="null3"/>
        <w:ind w:firstLine="480"/>
      </w:pPr>
      <w:r>
        <w:rPr/>
        <w:t>名称：</w:t>
      </w:r>
      <w:r>
        <w:rPr/>
        <w:t>河源市新启项目咨询管理有限公司</w:t>
      </w:r>
    </w:p>
    <w:p>
      <w:pPr>
        <w:pStyle w:val="null3"/>
        <w:ind w:firstLine="480"/>
      </w:pPr>
      <w:r>
        <w:rPr/>
        <w:t xml:space="preserve"> 地址：</w:t>
      </w:r>
      <w:r>
        <w:rPr/>
        <w:t>广东省河源市连平县元善镇肖国排新村苑第一、二层</w:t>
      </w:r>
    </w:p>
    <w:p>
      <w:pPr>
        <w:pStyle w:val="null3"/>
        <w:ind w:firstLine="480"/>
      </w:pPr>
      <w:r>
        <w:rPr/>
        <w:t xml:space="preserve"> 联系方式：</w:t>
      </w:r>
      <w:r>
        <w:rPr/>
        <w:t>0762-6743898</w:t>
      </w:r>
    </w:p>
    <w:p>
      <w:pPr>
        <w:pStyle w:val="null3"/>
        <w:outlineLvl w:val="3"/>
      </w:pPr>
      <w:r>
        <w:rPr>
          <w:sz w:val="24"/>
          <w:b/>
        </w:rPr>
        <w:t xml:space="preserve"> 3.项目联系方式</w:t>
      </w:r>
    </w:p>
    <w:p>
      <w:pPr>
        <w:pStyle w:val="null3"/>
        <w:ind w:firstLine="480"/>
      </w:pPr>
      <w:r>
        <w:rPr/>
        <w:t xml:space="preserve"> 项目联系人：</w:t>
      </w:r>
      <w:r>
        <w:rPr/>
        <w:t>王先生</w:t>
      </w:r>
    </w:p>
    <w:p>
      <w:pPr>
        <w:pStyle w:val="null3"/>
        <w:ind w:firstLine="480"/>
      </w:pPr>
      <w:r>
        <w:rPr/>
        <w:t xml:space="preserve"> 电话：</w:t>
      </w:r>
      <w:r>
        <w:rPr/>
        <w:t>0762-6743898</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河源市新启项目咨询管理有限公司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4"/>
          <w:b/>
        </w:rPr>
        <w:t>1.项目概况：</w:t>
      </w:r>
      <w:r>
        <w:rPr>
          <w:sz w:val="24"/>
        </w:rPr>
        <w:t>为加强食品安全监管工作，充分发挥食品检测技术支撑作用，根据《食品安全法》等法律法规规定，连平县市场监督管理局在连平县行政区域范围内对食用农产品、生产及小作坊环节、流通环节、餐饮环节履行监管职责，本次对食品安全监督抽检检验服务进行采购。成交供应商可承担</w:t>
      </w:r>
      <w:r>
        <w:rPr>
          <w:sz w:val="24"/>
        </w:rPr>
        <w:t>2026年连平县市场监督管理局组织开展的辖区内食用农产品、生产及小作坊环节、流通环节、餐饮环节等工作。现拟选择4家食品抽检机构承担上述工作。</w:t>
      </w:r>
    </w:p>
    <w:p>
      <w:pPr>
        <w:pStyle w:val="null3"/>
        <w:ind w:firstLine="514"/>
        <w:jc w:val="both"/>
      </w:pPr>
      <w:r>
        <w:rPr>
          <w:sz w:val="24"/>
          <w:b/>
        </w:rPr>
        <w:t>2.项目清单：清单详见附件。</w:t>
      </w:r>
    </w:p>
    <w:p>
      <w:pPr>
        <w:pStyle w:val="null3"/>
      </w:pPr>
      <w:r>
        <w:rPr/>
        <w:t>采购包1（流通环节）</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一年，即自合同签订之日起一年期满</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1期：支付比例100%,1期：支付比例100%,由采购人按下列程序付款： 1.本项目费用包括检验费、购样费、抽样工作经费、分析报告等抽检工作完成后由采购人按合同金额发票（含购样费、检验费、邮寄费）支付。 2.原则上按进度支付（若甲方财政部门提前拨付款项或未及时拨付款项到甲方账户，甲乙双方可协商支付时间），完成相关工作后经验收合格并经结算审核后，甲方在收到乙方所有结算资料和发票后15个工作日内，依法付清当期合同款。（如因特殊情况，乙方未能完成当次安排的抽检任务时，则按实际检验情况支付） 3.成交供应商凭以下有效文件与采购人结算： （1）合同； （2）成交供应商开具的正式发票； （3）验收报告（加盖采购人公章）； （4）成交通知书</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1期：1期：按国家相关法律法规以及行业验收标准执行</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本项目的投标报价为成交供应商完成项目总体要求的服务项目工作的一切费用，为人民币含税全包价，包括但不限于： (1)本项目服务过程的车辆及相关检验设备购置及试剂试纸耗材等费用。 (2)购买样品的费用。 (3)一切可见或不可见之车辆养路费、车辆保险费、车辆保养、维修、燃油费、车辆设备折旧费、所有设备的维护费和清洁费、水电费。 (4)人员工资、社保、保险、福利、管理费、风险费、税费、利润等所有费用。 (5)响应供应商报价中必须包括完成项目全部内容的费用，费用不管是否在响应供应商报价书中单列，均视为投标总价中已包括该费用。 (6)本项目的结算支付均以人民币为货币单位。</w:t>
            </w:r>
          </w:p>
        </w:tc>
      </w:tr>
      <w:tr>
        <w:tc>
          <w:tcPr>
            <w:tcW w:type="dxa" w:w="2076"/>
          </w:tcPr>
          <w:p/>
        </w:tc>
        <w:tc>
          <w:tcPr>
            <w:tcW w:type="dxa" w:w="2076"/>
          </w:tcPr>
          <w:p>
            <w:pPr>
              <w:pStyle w:val="null3"/>
              <w:jc w:val="center"/>
            </w:pPr>
            <w:r>
              <w:rPr/>
              <w:t>2</w:t>
            </w:r>
          </w:p>
        </w:tc>
        <w:tc>
          <w:tcPr>
            <w:tcW w:type="dxa" w:w="2076"/>
          </w:tcPr>
          <w:p>
            <w:pPr>
              <w:pStyle w:val="null3"/>
              <w:jc w:val="left"/>
            </w:pPr>
            <w:r>
              <w:rPr/>
              <w:t>安全责任</w:t>
            </w:r>
          </w:p>
        </w:tc>
        <w:tc>
          <w:tcPr>
            <w:tcW w:type="dxa" w:w="2076"/>
          </w:tcPr>
          <w:p>
            <w:pPr>
              <w:pStyle w:val="null3"/>
              <w:jc w:val="left"/>
            </w:pPr>
            <w:r>
              <w:rPr/>
              <w:t>响应供应商应充分知晓服务过程中存在的安全隐患并采取相应的预防措施，如发生安全责任事故，全部由供应商负责，与采购人无关。</w:t>
            </w:r>
          </w:p>
        </w:tc>
      </w:tr>
      <w:tr>
        <w:tc>
          <w:tcPr>
            <w:tcW w:type="dxa" w:w="2076"/>
          </w:tcPr>
          <w:p>
            <w:pPr>
              <w:pStyle w:val="null3"/>
              <w:jc w:val="center"/>
            </w:pPr>
            <w:r>
              <w:rPr/>
              <w:t>★</w:t>
            </w:r>
          </w:p>
        </w:tc>
        <w:tc>
          <w:tcPr>
            <w:tcW w:type="dxa" w:w="2076"/>
          </w:tcPr>
          <w:p>
            <w:pPr>
              <w:pStyle w:val="null3"/>
              <w:jc w:val="center"/>
            </w:pPr>
            <w:r>
              <w:rPr/>
              <w:t>3</w:t>
            </w:r>
          </w:p>
        </w:tc>
        <w:tc>
          <w:tcPr>
            <w:tcW w:type="dxa" w:w="2076"/>
          </w:tcPr>
          <w:p>
            <w:pPr>
              <w:pStyle w:val="null3"/>
              <w:jc w:val="left"/>
            </w:pPr>
            <w:r>
              <w:rPr/>
              <w:t>信誉要求</w:t>
            </w:r>
          </w:p>
        </w:tc>
        <w:tc>
          <w:tcPr>
            <w:tcW w:type="dxa" w:w="2076"/>
          </w:tcPr>
          <w:p>
            <w:pPr>
              <w:pStyle w:val="null3"/>
              <w:jc w:val="left"/>
            </w:pPr>
            <w:r>
              <w:rPr/>
              <w:t>响应供应商承诺近三年未受到抽检委托政府单位或被抽检单位的有效投诉（提供承诺函，格式自拟）。</w:t>
            </w:r>
          </w:p>
        </w:tc>
      </w:tr>
      <w:tr>
        <w:tc>
          <w:tcPr>
            <w:tcW w:type="dxa" w:w="2076"/>
          </w:tcPr>
          <w:p/>
        </w:tc>
        <w:tc>
          <w:tcPr>
            <w:tcW w:type="dxa" w:w="2076"/>
          </w:tcPr>
          <w:p>
            <w:pPr>
              <w:pStyle w:val="null3"/>
              <w:jc w:val="center"/>
            </w:pPr>
            <w:r>
              <w:rPr/>
              <w:t>4</w:t>
            </w:r>
          </w:p>
        </w:tc>
        <w:tc>
          <w:tcPr>
            <w:tcW w:type="dxa" w:w="2076"/>
          </w:tcPr>
          <w:p>
            <w:pPr>
              <w:pStyle w:val="null3"/>
              <w:jc w:val="left"/>
            </w:pPr>
            <w:r>
              <w:rPr/>
              <w:t>保密要求</w:t>
            </w:r>
          </w:p>
        </w:tc>
        <w:tc>
          <w:tcPr>
            <w:tcW w:type="dxa" w:w="2076"/>
          </w:tcPr>
          <w:p>
            <w:pPr>
              <w:pStyle w:val="null3"/>
              <w:jc w:val="left"/>
            </w:pPr>
            <w:r>
              <w:rPr/>
              <w:t>1.严格依据相关法律、法规和国家标准，在委托权限范围内开展工作。 2.本项目涉及的所有检验数据、检测报告只能对采购人提供，成交供应商不得自行对外公布任何评估相关的检验数据和结论性信息，不得将受委托事项再行委托其他单位实施。 3.主动向采购人提供进度报告、发布进度信息，自觉接受社会各界监督，协助采购人对相关举报投诉进行调查处理。 4.不得故意隐瞒、修改检验结果。 5.对评价结果发现存在严重事故隐患和重大安全风险的，应及时向监管机构进行通报。 6.出现违约行为的，采购人可单方面中止采购；出现违法违规行为的，依法追究成交供应商和相关责任人的法律责任。</w:t>
            </w:r>
          </w:p>
        </w:tc>
      </w:tr>
      <w:tr>
        <w:tc>
          <w:tcPr>
            <w:tcW w:type="dxa" w:w="2076"/>
          </w:tcPr>
          <w:p/>
        </w:tc>
        <w:tc>
          <w:tcPr>
            <w:tcW w:type="dxa" w:w="2076"/>
          </w:tcPr>
          <w:p>
            <w:pPr>
              <w:pStyle w:val="null3"/>
              <w:jc w:val="center"/>
            </w:pPr>
            <w:r>
              <w:rPr/>
              <w:t>5</w:t>
            </w:r>
          </w:p>
        </w:tc>
        <w:tc>
          <w:tcPr>
            <w:tcW w:type="dxa" w:w="2076"/>
          </w:tcPr>
          <w:p>
            <w:pPr>
              <w:pStyle w:val="null3"/>
              <w:jc w:val="left"/>
            </w:pPr>
            <w:r>
              <w:rPr/>
              <w:t>突发事件 响应</w:t>
            </w:r>
          </w:p>
        </w:tc>
        <w:tc>
          <w:tcPr>
            <w:tcW w:type="dxa" w:w="2076"/>
          </w:tcPr>
          <w:p>
            <w:pPr>
              <w:pStyle w:val="null3"/>
              <w:jc w:val="left"/>
            </w:pPr>
            <w:r>
              <w:rPr/>
              <w:t>（1）响应供应商须严格遵守《中华人民共和国食品安全法》《食品安全抽样检验管理办法》《食品安全突发事件应急预案》等国家及地方相关法律法规、规章标准，以及采购人应急管理相关规定，服从采购人的统一调度与安排。 （2） 服务期内，响应供应商必须建立完善的7×24小时应急响应机制，明确应急负责人、专职联络人、备勤人员名单及24小时有效联系方式（含固定电话、手机），确保应急指令接收及时、响应迅速，实现随时可调度、随时可出工、随时可开展检测工作。 （3） 服务期内，无论年度常规抽检任务是否完成，针对各类食品抽检突发事件、应急抽检任务、（舆）情相关抽检任务及采购人交办的紧急抽检任务，响应供应商须无条件优先承接、优先处置、优先报告，不得拒绝、拖延、推诿。 （4） 响应供应商须承诺，应急处置过程中严格落实信息保密要求，严禁泄露涉密信息、处置细节及相关敏感数据，避免引发社会恐慌或（舆）情失控。 （5）接警与现场处置时限 响应供应商接到采购人及相关监管部门的应急指令后，须严格遵守以下时限要求： ①15分钟内：完成应急响应，确认指令内容，详细记录事件核心信息（包括但不限于事件发生时间、地点、涉及食品类别、疑似问题项目、涉及人数、（舆）情扩散情况等），并同步反馈指令接收情况。 ②4小时内：应急处置团队（含持证抽样人员、持证检测技术人员）抵达事件现场（县域范围内），做好现场准备工作。 ③6小时内：完成现场封锁、风险排查、应急抽样、证据固定、样品留样及封存工作，形成现场处置初步记录，同步上报采购人。 （6）不合格及突发事件报告时限 若抽检过程中检出严重不合格、高风险项目，或发现疑似食源性疾病关联样品、（舆）情热点相关样品，响应供应商须严格执行以下报告要求： ①12小时内：通过书面形式（加盖公章）及指定系统（国抽信息系统/省级抽检平台）双重上报，同步报送采购人及属地食品安全监管部门，报告内容需明确样品信息、检测结果、初步风险判断。 ②24小时内：出具正式应急检验报告，报告需包含检测数据、风险研判结论、溯源排查建议及应急处置建议，确保数据真实、准确、完整。 ③48小时内：完成溯源延伸抽样、样品复核工作，形成风险评估报告，明确风险来源、扩散范围及防控措施，提交采购人及相关监管部门。 （7）应急组织与人员要求 ①响应供应商须设立专门的食品安全应急工作小组，明确组织架构及人员分工，小组组成须满足以下要求：应急总指挥1名、技术负责人1名、现场采样组：不少于2人、应急检测组：不少于2人 （8）应急检测能力要求 ①响应供应商须具备高风险食品项目快速筛查与实验室确证双重能力，检测范围覆盖：重金属、农兽药残留、微生物（致病菌等）、食品添加剂、生物毒素、非法添加物等各类食品安全高风险项目。 ②应急检测工作须坚持“优先快检、加急确证”的原则，其中高风险项目须在24小时内出具检测结果，确保应急处置工作高效推进。 ③建立完善的样品管理体系，具备样品留样保存能力（留样保存期限不少于6个月），实现样品从抽样、运输、检测、留样到处置的全程可追溯，原始检测记录、留样记录须完整留存，可随时接受采购人及相关监管部门核查。 ④具备跨区域协查、溯源延伸抽样及上下游联动检测能力，能够配合采购人及相关监管部门，开展跨区域风险排查、溯源追踪及联合检测工作。 （9）信息报告与（舆）情应对要求 ①严格执行应急信息快报、续报、终报制度，确保信息上报及时、准确、完整： （1）初报：事件发现或接到应急指令后12小时内，提交初步报告，明确事件基本情况、初步处置措施及检测进展。 （2）续报：应急处置过程中，每24小时更新一次事件处置进展、检测结果及风险变化情况，直至事件处置完毕。 （3）终报：事件处置完毕后7日内，提交应急处置总结报告，明确事件原因、处置过程、整改情况、经验教训及后续防控措施。 ②信息发布须严格遵循“依法、准确、及时、公开”的原则，统一信息发布口径，严禁擅自对外发布应急处置信息、检测数据及相关敏感内容，不得炒作（舆）情、泄露涉密信息。 ③ 积极配合采购人开展（舆）情监测、风险交流、食品安全科普回应及新闻发布相关工作，及时回应社会关切，澄清不实信息，引导（舆）情理性发展。 （10）其他要求 ①响应供应商须在投标文件中提交《食品抽检突发事件应急响应承诺书》，明确承诺严格遵守本章节所有要求，若违反承诺，自愿接受相应的违约处理。 ②服务期内，采购人将定期对响应供应商的应急响应能力、执行情况进行核查，核查不合格的，要求其限期整改，整改仍不合格的，终止合同。 ③未尽事宜，按照国家及地方相关法律法规、规章标准及采购人相关规定执行。</w:t>
            </w:r>
          </w:p>
        </w:tc>
      </w:tr>
      <w:tr>
        <w:tc>
          <w:tcPr>
            <w:tcW w:type="dxa" w:w="2076"/>
          </w:tcPr>
          <w:p/>
        </w:tc>
        <w:tc>
          <w:tcPr>
            <w:tcW w:type="dxa" w:w="2076"/>
          </w:tcPr>
          <w:p>
            <w:pPr>
              <w:pStyle w:val="null3"/>
              <w:jc w:val="center"/>
            </w:pPr>
            <w:r>
              <w:rPr/>
              <w:t>6</w:t>
            </w:r>
          </w:p>
        </w:tc>
        <w:tc>
          <w:tcPr>
            <w:tcW w:type="dxa" w:w="2076"/>
          </w:tcPr>
          <w:p>
            <w:pPr>
              <w:pStyle w:val="null3"/>
              <w:jc w:val="left"/>
            </w:pPr>
            <w:r>
              <w:rPr/>
              <w:t>其它要求</w:t>
            </w:r>
          </w:p>
        </w:tc>
        <w:tc>
          <w:tcPr>
            <w:tcW w:type="dxa" w:w="2076"/>
          </w:tcPr>
          <w:p>
            <w:pPr>
              <w:pStyle w:val="null3"/>
              <w:jc w:val="left"/>
            </w:pPr>
            <w:r>
              <w:rPr/>
              <w:t>1.响应供应商在响应文件中要列明在项目实施过程中要求业主提供的配合条件（如有）。 2.采购需求为基本的需求，响应供应商应须满足上述要求，但不仅限于提供上述服务。支持响应供应商在上述基础上提供更优服务，以满足采购人的实际使用需要。 3.成交供应商须严格按照磋商文件承诺内容提供相应服务，采购人有权对成交供应商抽检前准备情况、抽检实施过程、售后服务情况进行检查、考核和客观评价。</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技术测试和分析服务</w:t>
            </w:r>
          </w:p>
        </w:tc>
        <w:tc>
          <w:tcPr>
            <w:tcW w:type="dxa" w:w="933"/>
          </w:tcPr>
          <w:p>
            <w:pPr>
              <w:pStyle w:val="null3"/>
              <w:jc w:val="left"/>
            </w:pPr>
            <w:r>
              <w:rPr/>
              <w:t>流通环节</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226,468.61</w:t>
            </w:r>
          </w:p>
        </w:tc>
        <w:tc>
          <w:tcPr>
            <w:tcW w:type="dxa" w:w="933"/>
          </w:tcPr>
          <w:p>
            <w:pPr>
              <w:pStyle w:val="null3"/>
              <w:jc w:val="right"/>
            </w:pPr>
            <w:r>
              <w:rPr/>
              <w:t>226,468.61</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流通环节</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基本要求</w:t>
                  </w:r>
                </w:p>
                <w:p>
                  <w:pPr>
                    <w:pStyle w:val="null3"/>
                    <w:ind w:firstLine="480"/>
                    <w:jc w:val="left"/>
                  </w:pPr>
                  <w:r>
                    <w:rPr>
                      <w:sz w:val="24"/>
                      <w:color w:val="000000"/>
                    </w:rPr>
                    <w:t>1.</w:t>
                  </w:r>
                  <w:r>
                    <w:rPr>
                      <w:sz w:val="24"/>
                      <w:color w:val="000000"/>
                    </w:rPr>
                    <w:t>食品检验机构及其检验人应当依照有关法律法规的规定从事食品检验活动。应当尊重科学，恪守职业道德，保证出具的检验数据和结论客观、公正、准确、可追溯，不得出具虚假检验数据和报告。</w:t>
                  </w:r>
                </w:p>
                <w:p>
                  <w:pPr>
                    <w:pStyle w:val="null3"/>
                    <w:ind w:firstLine="480"/>
                    <w:jc w:val="left"/>
                  </w:pPr>
                  <w:r>
                    <w:rPr>
                      <w:sz w:val="24"/>
                      <w:color w:val="000000"/>
                    </w:rPr>
                    <w:t>2.</w:t>
                  </w:r>
                  <w:r>
                    <w:rPr>
                      <w:sz w:val="24"/>
                      <w:color w:val="000000"/>
                    </w:rPr>
                    <w:t>检验依据依照食品安全国家标准。对没有食品安全国家标准的，可按照地方标准、食品卫生标准、食品质量标准和有关食品的行业标准，食品安全地方标准，企业标准、产品标签明示值或国家明文规定的限量值及国家指定的特定检验方法等进行检验。应急情况下，可采用经科学验证的参考方法和内部方法。</w:t>
                  </w:r>
                </w:p>
                <w:p>
                  <w:pPr>
                    <w:pStyle w:val="null3"/>
                    <w:ind w:firstLine="480"/>
                    <w:jc w:val="left"/>
                  </w:pPr>
                  <w:r>
                    <w:rPr>
                      <w:sz w:val="24"/>
                      <w:color w:val="000000"/>
                    </w:rPr>
                    <w:t>3.</w:t>
                  </w:r>
                  <w:r>
                    <w:rPr>
                      <w:sz w:val="24"/>
                      <w:color w:val="000000"/>
                    </w:rPr>
                    <w:t>成交供应商负责提供每次检验所需的交通工具，积极配合抽检工作。</w:t>
                  </w:r>
                </w:p>
                <w:p>
                  <w:pPr>
                    <w:pStyle w:val="null3"/>
                    <w:ind w:firstLine="480"/>
                    <w:jc w:val="left"/>
                  </w:pPr>
                  <w:r>
                    <w:rPr>
                      <w:sz w:val="24"/>
                      <w:color w:val="000000"/>
                    </w:rPr>
                    <w:t>4.</w:t>
                  </w:r>
                  <w:r>
                    <w:rPr>
                      <w:sz w:val="24"/>
                      <w:color w:val="000000"/>
                    </w:rPr>
                    <w:t>成交供应商实验室检验设备、检验人员充裕，能满足食品检验的特殊要求，能按时按质完成抽检任务，出具合法有效的检验报告。</w:t>
                  </w:r>
                </w:p>
                <w:p>
                  <w:pPr>
                    <w:pStyle w:val="null3"/>
                    <w:ind w:firstLine="480"/>
                    <w:jc w:val="left"/>
                  </w:pPr>
                  <w:r>
                    <w:rPr>
                      <w:sz w:val="24"/>
                      <w:color w:val="000000"/>
                    </w:rPr>
                    <w:t>5.</w:t>
                  </w:r>
                  <w:r>
                    <w:rPr>
                      <w:sz w:val="24"/>
                      <w:color w:val="000000"/>
                    </w:rPr>
                    <w:t>成交供应商技术服务水平高，采样操作规范，实验室质量控制严格，近</w:t>
                  </w:r>
                  <w:r>
                    <w:rPr>
                      <w:sz w:val="24"/>
                      <w:color w:val="000000"/>
                    </w:rPr>
                    <w:t>3</w:t>
                  </w:r>
                  <w:r>
                    <w:rPr>
                      <w:sz w:val="24"/>
                      <w:color w:val="000000"/>
                    </w:rPr>
                    <w:t>年无食品检验数据严重质量问题。</w:t>
                  </w:r>
                </w:p>
                <w:p>
                  <w:pPr>
                    <w:pStyle w:val="null3"/>
                    <w:ind w:firstLine="480"/>
                    <w:jc w:val="left"/>
                  </w:pPr>
                  <w:r>
                    <w:rPr>
                      <w:sz w:val="24"/>
                      <w:color w:val="000000"/>
                    </w:rPr>
                    <w:t>6.</w:t>
                  </w:r>
                  <w:r>
                    <w:rPr>
                      <w:sz w:val="24"/>
                      <w:color w:val="000000"/>
                    </w:rPr>
                    <w:t>沟通协调能力强，各镇所市场监管部门工作配合到位，近</w:t>
                  </w:r>
                  <w:r>
                    <w:rPr>
                      <w:sz w:val="24"/>
                      <w:color w:val="000000"/>
                    </w:rPr>
                    <w:t>3</w:t>
                  </w:r>
                  <w:r>
                    <w:rPr>
                      <w:sz w:val="24"/>
                      <w:color w:val="000000"/>
                    </w:rPr>
                    <w:t>年未受到经县局查证核实的连平县辖区内的市场监管和被抽检单位的投诉。</w:t>
                  </w:r>
                </w:p>
                <w:p>
                  <w:pPr>
                    <w:pStyle w:val="null3"/>
                    <w:ind w:firstLine="480"/>
                    <w:jc w:val="left"/>
                  </w:pPr>
                  <w:r>
                    <w:rPr>
                      <w:sz w:val="24"/>
                      <w:color w:val="000000"/>
                    </w:rPr>
                    <w:t>7.</w:t>
                  </w:r>
                  <w:r>
                    <w:rPr>
                      <w:sz w:val="24"/>
                      <w:color w:val="000000"/>
                    </w:rPr>
                    <w:t>成交供应商应按照专业操守尽职尽责，根据国内的相关标准进行样品的抽样、检验及判定工作，并且按当次抽检方案约定日期出具检验报告；在采购人与第三方同等的条件下，成交供应商应优先完成对采购人的抽检和监测任务。</w:t>
                  </w:r>
                </w:p>
                <w:p>
                  <w:pPr>
                    <w:pStyle w:val="null3"/>
                    <w:ind w:firstLine="480"/>
                    <w:jc w:val="left"/>
                  </w:pPr>
                  <w:r>
                    <w:rPr>
                      <w:sz w:val="24"/>
                      <w:color w:val="000000"/>
                    </w:rPr>
                    <w:t>8.</w:t>
                  </w:r>
                  <w:r>
                    <w:rPr>
                      <w:sz w:val="24"/>
                      <w:color w:val="000000"/>
                    </w:rPr>
                    <w:t>食品安全抽检监测工作遵照国家总局制定的最新工作规范执行。</w:t>
                  </w:r>
                </w:p>
                <w:p>
                  <w:pPr>
                    <w:pStyle w:val="null3"/>
                    <w:ind w:firstLine="480"/>
                    <w:jc w:val="left"/>
                  </w:pPr>
                  <w:r>
                    <w:rPr>
                      <w:sz w:val="24"/>
                      <w:color w:val="000000"/>
                    </w:rPr>
                    <w:t>9.</w:t>
                  </w:r>
                  <w:r>
                    <w:rPr>
                      <w:sz w:val="24"/>
                      <w:color w:val="000000"/>
                    </w:rPr>
                    <w:t>成交供应商对检验结果的真实性负责，由于虚假、错误检验数据和结论而给被检人造成损失的，或者给社会带来不良影响的，取消其承检资格，并承担赔偿责任及相应法律责任。</w:t>
                  </w:r>
                </w:p>
                <w:p>
                  <w:pPr>
                    <w:pStyle w:val="null3"/>
                    <w:ind w:firstLine="480"/>
                    <w:jc w:val="left"/>
                  </w:pPr>
                  <w:r>
                    <w:rPr>
                      <w:sz w:val="24"/>
                      <w:color w:val="000000"/>
                    </w:rPr>
                    <w:t>10.</w:t>
                  </w:r>
                  <w:r>
                    <w:rPr>
                      <w:sz w:val="24"/>
                      <w:color w:val="000000"/>
                    </w:rPr>
                    <w:t>涉及抽样的全部情况包括数据及结果，成交供应商必须对抽检监测的结果及数据等信息保密，不得向除采购人外的任何单位与个人透露，否则取消其承检资格；如造成经济损失及不良影响的，追究其经济赔偿责任和法律责任。</w:t>
                  </w:r>
                </w:p>
                <w:p>
                  <w:pPr>
                    <w:pStyle w:val="null3"/>
                    <w:ind w:firstLine="480"/>
                    <w:jc w:val="left"/>
                  </w:pPr>
                  <w:r>
                    <w:rPr>
                      <w:sz w:val="24"/>
                      <w:color w:val="000000"/>
                    </w:rPr>
                    <w:t>11.</w:t>
                  </w:r>
                  <w:r>
                    <w:rPr>
                      <w:sz w:val="24"/>
                      <w:color w:val="000000"/>
                    </w:rPr>
                    <w:t>成交供应商应积极配合采购人开展抽检及后续工作，及时反馈检验不合格样品的信息。应安排专人与采购人联系，并提供手机、</w:t>
                  </w:r>
                  <w:r>
                    <w:rPr>
                      <w:sz w:val="24"/>
                      <w:color w:val="000000"/>
                    </w:rPr>
                    <w:t>QQ</w:t>
                  </w:r>
                  <w:r>
                    <w:rPr>
                      <w:sz w:val="24"/>
                      <w:color w:val="000000"/>
                    </w:rPr>
                    <w:t>、微信、邮箱等联系方式，必要时应在半小时内及时响应采购人需求。</w:t>
                  </w:r>
                </w:p>
                <w:p>
                  <w:pPr>
                    <w:pStyle w:val="null3"/>
                    <w:ind w:firstLine="480"/>
                    <w:jc w:val="left"/>
                  </w:pPr>
                  <w:r>
                    <w:rPr>
                      <w:sz w:val="24"/>
                      <w:color w:val="000000"/>
                    </w:rPr>
                    <w:t>12.</w:t>
                  </w:r>
                  <w:r>
                    <w:rPr>
                      <w:sz w:val="24"/>
                      <w:color w:val="000000"/>
                    </w:rPr>
                    <w:t>成交供应商对其抽取的样品负责，检验结果反映送检样品的真实状况。</w:t>
                  </w:r>
                </w:p>
                <w:p>
                  <w:pPr>
                    <w:pStyle w:val="null3"/>
                    <w:ind w:firstLine="480"/>
                    <w:jc w:val="left"/>
                  </w:pPr>
                  <w:r>
                    <w:rPr>
                      <w:sz w:val="24"/>
                      <w:color w:val="000000"/>
                    </w:rPr>
                    <w:t>13.</w:t>
                  </w:r>
                  <w:r>
                    <w:rPr>
                      <w:sz w:val="24"/>
                      <w:color w:val="000000"/>
                    </w:rPr>
                    <w:t>成交供应商应针对每次任务提供承接项目的质量保障计划、措施和结果，保证原始记录规范完整，并接受县局组织的专家检查及评估。</w:t>
                  </w:r>
                </w:p>
                <w:p>
                  <w:pPr>
                    <w:pStyle w:val="null3"/>
                    <w:jc w:val="left"/>
                  </w:pPr>
                  <w:r>
                    <w:rPr>
                      <w:sz w:val="24"/>
                      <w:color w:val="000000"/>
                    </w:rPr>
                    <w:t xml:space="preserve">    </w:t>
                  </w:r>
                  <w:r>
                    <w:rPr>
                      <w:sz w:val="24"/>
                      <w:color w:val="000000"/>
                    </w:rPr>
                    <w:t>14.</w:t>
                  </w:r>
                  <w:r>
                    <w:rPr>
                      <w:sz w:val="24"/>
                      <w:color w:val="000000"/>
                    </w:rPr>
                    <w:t>对成交供应商在开展抽检监测过程中弄虚作假或不配合采购人开展工作的，取消其承检资格，并追究其经济赔偿责任和法律责任。</w:t>
                  </w:r>
                </w:p>
              </w:tc>
            </w:tr>
          </w:tbl>
          <w:p/>
        </w:tc>
      </w:tr>
      <w:tr>
        <w:tc>
          <w:tcPr>
            <w:tcW w:type="dxa" w:w="2076"/>
          </w:tcPr>
          <w:p/>
        </w:tc>
        <w:tc>
          <w:tcPr>
            <w:tcW w:type="dxa" w:w="415"/>
          </w:tcPr>
          <w:p>
            <w:pPr>
              <w:pStyle w:val="null3"/>
            </w:pPr>
            <w:r>
              <w:rPr/>
              <w:t>2</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成交供应商应履行的职责</w:t>
                  </w:r>
                </w:p>
                <w:p>
                  <w:pPr>
                    <w:pStyle w:val="null3"/>
                    <w:ind w:firstLine="480"/>
                    <w:jc w:val="left"/>
                  </w:pPr>
                  <w:r>
                    <w:rPr>
                      <w:sz w:val="24"/>
                      <w:color w:val="000000"/>
                    </w:rPr>
                    <w:t>1.</w:t>
                  </w:r>
                  <w:r>
                    <w:rPr>
                      <w:sz w:val="24"/>
                      <w:color w:val="000000"/>
                    </w:rPr>
                    <w:t>采样地点：连平县辖区内，每次任务根据实际工作要求确定具体采样地点。</w:t>
                  </w:r>
                </w:p>
                <w:p>
                  <w:pPr>
                    <w:pStyle w:val="null3"/>
                    <w:ind w:firstLine="480"/>
                    <w:jc w:val="left"/>
                  </w:pPr>
                  <w:r>
                    <w:rPr>
                      <w:sz w:val="24"/>
                      <w:color w:val="000000"/>
                    </w:rPr>
                    <w:t>2.</w:t>
                  </w:r>
                  <w:r>
                    <w:rPr>
                      <w:sz w:val="24"/>
                      <w:color w:val="000000"/>
                    </w:rPr>
                    <w:t>采样人员：协助监督执法人员采样或者受县局委托独立开展采样，提供符合食品抽样要求的相关工具、容器，受委托采样时应当出示监督抽检通知书、委托书等文件及有效身份证明文件，并且具有采样资格的人员各包组不得少于</w:t>
                  </w:r>
                  <w:r>
                    <w:rPr>
                      <w:sz w:val="24"/>
                      <w:color w:val="000000"/>
                    </w:rPr>
                    <w:t>2</w:t>
                  </w:r>
                  <w:r>
                    <w:rPr>
                      <w:sz w:val="24"/>
                      <w:color w:val="000000"/>
                    </w:rPr>
                    <w:t>人。</w:t>
                  </w:r>
                </w:p>
                <w:p>
                  <w:pPr>
                    <w:pStyle w:val="null3"/>
                    <w:ind w:firstLine="480"/>
                    <w:jc w:val="left"/>
                  </w:pPr>
                  <w:r>
                    <w:rPr>
                      <w:sz w:val="24"/>
                      <w:color w:val="000000"/>
                    </w:rPr>
                    <w:t>3.</w:t>
                  </w:r>
                  <w:r>
                    <w:rPr>
                      <w:sz w:val="24"/>
                      <w:color w:val="000000"/>
                    </w:rPr>
                    <w:t>采样办法：根据检验项目及国家标准中规定的采样方法及采样数量抽取样品。</w:t>
                  </w:r>
                </w:p>
                <w:p>
                  <w:pPr>
                    <w:pStyle w:val="null3"/>
                    <w:ind w:firstLine="480"/>
                    <w:jc w:val="left"/>
                  </w:pPr>
                  <w:r>
                    <w:rPr>
                      <w:sz w:val="24"/>
                      <w:color w:val="000000"/>
                    </w:rPr>
                    <w:t>4.</w:t>
                  </w:r>
                  <w:r>
                    <w:rPr>
                      <w:sz w:val="24"/>
                      <w:color w:val="000000"/>
                    </w:rPr>
                    <w:t>样品运输：由成交供应商负责，具备自有抽检车辆的运输能力，并确保样品质量不受影响，如县局有紧急批量抽检任务，</w:t>
                  </w:r>
                  <w:r>
                    <w:rPr>
                      <w:sz w:val="24"/>
                      <w:color w:val="000000"/>
                    </w:rPr>
                    <w:t>可安排</w:t>
                  </w:r>
                  <w:r>
                    <w:rPr>
                      <w:sz w:val="24"/>
                      <w:color w:val="000000"/>
                    </w:rPr>
                    <w:t>6</w:t>
                  </w:r>
                  <w:r>
                    <w:rPr>
                      <w:sz w:val="24"/>
                      <w:color w:val="000000"/>
                    </w:rPr>
                    <w:t>个以上的抽检小组参加抽样</w:t>
                  </w:r>
                  <w:r>
                    <w:rPr>
                      <w:sz w:val="24"/>
                      <w:color w:val="000000"/>
                    </w:rPr>
                    <w:t>。</w:t>
                  </w:r>
                </w:p>
                <w:p>
                  <w:pPr>
                    <w:pStyle w:val="null3"/>
                    <w:ind w:firstLine="480"/>
                    <w:jc w:val="left"/>
                  </w:pPr>
                  <w:r>
                    <w:rPr>
                      <w:sz w:val="24"/>
                      <w:color w:val="000000"/>
                    </w:rPr>
                    <w:t>5.</w:t>
                  </w:r>
                  <w:r>
                    <w:rPr>
                      <w:sz w:val="24"/>
                      <w:color w:val="000000"/>
                    </w:rPr>
                    <w:t>样品保存：抽（采）样过程应当确保样品的完整性、安全性和稳定性。样品数量应当满足检验工作的需要。建立检验结果复验程序，在检验结果不合格或存疑等情况时进行复验并保存记录，确保数据结果准确可靠。</w:t>
                  </w:r>
                </w:p>
                <w:p>
                  <w:pPr>
                    <w:pStyle w:val="null3"/>
                    <w:ind w:firstLine="480"/>
                    <w:jc w:val="left"/>
                  </w:pPr>
                  <w:r>
                    <w:rPr>
                      <w:sz w:val="24"/>
                      <w:color w:val="000000"/>
                    </w:rPr>
                    <w:t>6.</w:t>
                  </w:r>
                  <w:r>
                    <w:rPr>
                      <w:sz w:val="24"/>
                      <w:color w:val="000000"/>
                    </w:rPr>
                    <w:t>样品检验：由成交供应商负责，并对样品检验结果负责。检验应当严格依据标准检验方法或经确认的非标准检验方法，确保方法中相关要求的有效实施，如果国家检验标准有变化的，按照最新发布的检验要求进行。必须按照县局要求完成检验品种的规定项目，且承担全部抽检品种的检验检测。</w:t>
                  </w:r>
                </w:p>
                <w:p>
                  <w:pPr>
                    <w:pStyle w:val="null3"/>
                    <w:ind w:firstLine="480"/>
                    <w:jc w:val="left"/>
                  </w:pPr>
                  <w:r>
                    <w:rPr>
                      <w:sz w:val="24"/>
                      <w:color w:val="000000"/>
                    </w:rPr>
                    <w:t>7.</w:t>
                  </w:r>
                  <w:r>
                    <w:rPr>
                      <w:sz w:val="24"/>
                      <w:color w:val="000000"/>
                    </w:rPr>
                    <w:t>结果判定：检验项目中有一项不符合标准要求即判定本批次食品样品抽检不合格。</w:t>
                  </w:r>
                </w:p>
                <w:p>
                  <w:pPr>
                    <w:pStyle w:val="null3"/>
                    <w:ind w:firstLine="480"/>
                    <w:jc w:val="left"/>
                  </w:pPr>
                  <w:r>
                    <w:rPr>
                      <w:sz w:val="24"/>
                      <w:color w:val="000000"/>
                    </w:rPr>
                    <w:t>8.</w:t>
                  </w:r>
                  <w:r>
                    <w:rPr>
                      <w:sz w:val="24"/>
                      <w:color w:val="000000"/>
                    </w:rPr>
                    <w:t>结果送达：成交供应商应在规定的时间内完成县局部署的抽检监测工作，依法出具检验报告，并按要求及时送达。食品抽检监测的检验结论合格的，成交供应商应当在检验结论做出后</w:t>
                  </w:r>
                  <w:r>
                    <w:rPr>
                      <w:sz w:val="24"/>
                      <w:color w:val="000000"/>
                    </w:rPr>
                    <w:t>5</w:t>
                  </w:r>
                  <w:r>
                    <w:rPr>
                      <w:sz w:val="24"/>
                      <w:color w:val="000000"/>
                    </w:rPr>
                    <w:t>个工作日内，将检验报告报送至采购人，同时寄一份给被抽样单位。食品抽检监测检验结论不合格的，成交供应商应当在检验结论做出后</w:t>
                  </w:r>
                  <w:r>
                    <w:rPr>
                      <w:sz w:val="24"/>
                      <w:color w:val="000000"/>
                    </w:rPr>
                    <w:t>2</w:t>
                  </w:r>
                  <w:r>
                    <w:rPr>
                      <w:sz w:val="24"/>
                      <w:color w:val="000000"/>
                    </w:rPr>
                    <w:t>个工作日内，将不合格检验报告，以及抽取该样品时采集的现场信息和抽样文书等材料报送至采购人，不合格检测报告为一式四份。成交供应商应保存邮件详情单，以备查询。抽检方未经县局同意不得擅自将不合格的检验结果告知被抽检单位，一经发现立即取消资格。法律法规规定必须提供的其他文书也一并送达。报告邮递费由检验机构承担。</w:t>
                  </w:r>
                </w:p>
                <w:p>
                  <w:pPr>
                    <w:pStyle w:val="null3"/>
                    <w:ind w:firstLine="480"/>
                    <w:jc w:val="left"/>
                  </w:pPr>
                  <w:r>
                    <w:rPr>
                      <w:sz w:val="24"/>
                      <w:color w:val="000000"/>
                    </w:rPr>
                    <w:t>9.</w:t>
                  </w:r>
                  <w:r>
                    <w:rPr>
                      <w:sz w:val="24"/>
                      <w:color w:val="000000"/>
                    </w:rPr>
                    <w:t>总结分析：对所检验样品依法出具检验报告，并撰写监督抽检总结分析报告，报告应包括以下内容：组织实施情况（包括采样分布、抽检品种及项目、抽检频次及数量等）、抽检结果分析、发现的主要问题及原因等。每季度初前需向县局报送按品种按地区分别统计的上季度抽检汇总表和情况分析。</w:t>
                  </w:r>
                </w:p>
                <w:p>
                  <w:pPr>
                    <w:pStyle w:val="null3"/>
                    <w:ind w:firstLine="480"/>
                    <w:jc w:val="left"/>
                  </w:pPr>
                  <w:r>
                    <w:rPr>
                      <w:sz w:val="24"/>
                      <w:color w:val="000000"/>
                    </w:rPr>
                    <w:t>10.</w:t>
                  </w:r>
                  <w:r>
                    <w:rPr>
                      <w:sz w:val="24"/>
                      <w:color w:val="000000"/>
                    </w:rPr>
                    <w:t>全县全年汇总分析：县局收集全县全年各环节的食品抽检数据，检验机构发挥专业技术水平，为县局食品安全监管工作提供强力的技术支撑，全面分析全县全年食品安全监管现状和食品抽检工作总体情况，按不同品种、环节、辖区进行抽检情况分析（含数据图表分析），对不合格项目的危害及警示等，提出今后加强食品安全监管工作的指向。</w:t>
                  </w:r>
                </w:p>
                <w:p>
                  <w:pPr>
                    <w:pStyle w:val="null3"/>
                    <w:ind w:firstLine="480"/>
                    <w:jc w:val="left"/>
                  </w:pPr>
                  <w:r>
                    <w:rPr>
                      <w:sz w:val="24"/>
                      <w:color w:val="000000"/>
                    </w:rPr>
                    <w:t>11.</w:t>
                  </w:r>
                  <w:r>
                    <w:rPr>
                      <w:sz w:val="24"/>
                      <w:color w:val="000000"/>
                    </w:rPr>
                    <w:t>按照县局的要求，及时将检验报告的相关资料录入国家食品安全抽样检验信息系统。</w:t>
                  </w:r>
                </w:p>
                <w:p>
                  <w:pPr>
                    <w:pStyle w:val="null3"/>
                    <w:jc w:val="left"/>
                  </w:pPr>
                  <w:r>
                    <w:rPr>
                      <w:sz w:val="24"/>
                      <w:color w:val="000000"/>
                    </w:rPr>
                    <w:t xml:space="preserve">    </w:t>
                  </w:r>
                  <w:r>
                    <w:rPr>
                      <w:sz w:val="24"/>
                      <w:color w:val="000000"/>
                    </w:rPr>
                    <w:t>12.</w:t>
                  </w:r>
                  <w:r>
                    <w:rPr>
                      <w:sz w:val="24"/>
                      <w:color w:val="000000"/>
                    </w:rPr>
                    <w:t>监督整改：接受县局质量监督、对发现的问题立即改正。</w:t>
                  </w:r>
                </w:p>
              </w:tc>
            </w:tr>
          </w:tbl>
          <w:p/>
        </w:tc>
      </w:tr>
      <w:tr>
        <w:tc>
          <w:tcPr>
            <w:tcW w:type="dxa" w:w="2076"/>
          </w:tcPr>
          <w:p/>
        </w:tc>
        <w:tc>
          <w:tcPr>
            <w:tcW w:type="dxa" w:w="415"/>
          </w:tcPr>
          <w:p>
            <w:pPr>
              <w:pStyle w:val="null3"/>
            </w:pPr>
            <w:r>
              <w:rPr/>
              <w:t>3</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成交供应商从业人员及设备要求：</w:t>
                  </w:r>
                </w:p>
                <w:p>
                  <w:pPr>
                    <w:pStyle w:val="null3"/>
                    <w:ind w:firstLine="480"/>
                    <w:jc w:val="left"/>
                  </w:pPr>
                  <w:r>
                    <w:rPr>
                      <w:sz w:val="24"/>
                      <w:color w:val="000000"/>
                    </w:rPr>
                    <w:t>1.</w:t>
                  </w:r>
                  <w:r>
                    <w:rPr>
                      <w:sz w:val="24"/>
                      <w:color w:val="000000"/>
                    </w:rPr>
                    <w:t>检验人员应当熟悉掌握食品安全标准、卫生标准等标准，有能力按照最新相关标准规定的方法从事检测工作，因抽检内容多且繁杂，要求具有专业的人员，需配备一支专业团队，为县局研判检验报告和日常监管工作提供权威有力的技术支撑。</w:t>
                  </w:r>
                </w:p>
                <w:p>
                  <w:pPr>
                    <w:pStyle w:val="null3"/>
                    <w:ind w:firstLine="480"/>
                    <w:jc w:val="left"/>
                  </w:pPr>
                  <w:r>
                    <w:rPr>
                      <w:sz w:val="24"/>
                      <w:color w:val="000000"/>
                    </w:rPr>
                    <w:t>2.</w:t>
                  </w:r>
                  <w:r>
                    <w:rPr>
                      <w:sz w:val="24"/>
                      <w:color w:val="000000"/>
                    </w:rPr>
                    <w:t>检验机构从业人员应经专业培训上岗，抽样人员和检验人员工作稳定性强，能保证食品抽样检验工作的连续性和稳定性。</w:t>
                  </w:r>
                </w:p>
                <w:p>
                  <w:pPr>
                    <w:pStyle w:val="null3"/>
                    <w:ind w:firstLine="480"/>
                    <w:jc w:val="left"/>
                  </w:pPr>
                  <w:r>
                    <w:rPr>
                      <w:sz w:val="24"/>
                      <w:color w:val="000000"/>
                    </w:rPr>
                    <w:t>3.</w:t>
                  </w:r>
                  <w:r>
                    <w:rPr>
                      <w:sz w:val="24"/>
                      <w:color w:val="000000"/>
                    </w:rPr>
                    <w:t>检验人员相关工作经验丰富、数量充足能够及时出具准确的检测数据，要求在抽样之日起</w:t>
                  </w:r>
                  <w:r>
                    <w:rPr>
                      <w:sz w:val="24"/>
                      <w:color w:val="000000"/>
                    </w:rPr>
                    <w:t>15</w:t>
                  </w:r>
                  <w:r>
                    <w:rPr>
                      <w:sz w:val="24"/>
                      <w:color w:val="000000"/>
                    </w:rPr>
                    <w:t>个工作日内出具检验报告，能独立承担抽样、检测、数据汇总、结果报送工作。</w:t>
                  </w:r>
                </w:p>
                <w:p>
                  <w:pPr>
                    <w:pStyle w:val="null3"/>
                    <w:ind w:firstLine="480"/>
                    <w:jc w:val="left"/>
                  </w:pPr>
                  <w:r>
                    <w:rPr>
                      <w:sz w:val="24"/>
                      <w:color w:val="000000"/>
                    </w:rPr>
                    <w:t>4.</w:t>
                  </w:r>
                  <w:r>
                    <w:rPr>
                      <w:sz w:val="24"/>
                      <w:color w:val="000000"/>
                    </w:rPr>
                    <w:t>检验机构应当建立健全仪器设备、标准物质、标准菌（毒）种等管理制度，规范管理使用，加强核查，确保其准确可靠，并满足溯源性要求。</w:t>
                  </w:r>
                </w:p>
                <w:p>
                  <w:pPr>
                    <w:pStyle w:val="null3"/>
                    <w:ind w:firstLine="480"/>
                    <w:jc w:val="left"/>
                  </w:pPr>
                  <w:r>
                    <w:rPr>
                      <w:sz w:val="24"/>
                      <w:color w:val="000000"/>
                    </w:rPr>
                    <w:t>5.</w:t>
                  </w:r>
                  <w:r>
                    <w:rPr>
                      <w:sz w:val="24"/>
                      <w:color w:val="000000"/>
                    </w:rPr>
                    <w:t>检验机构实验室应正确配备满足所开展的检验活动必需的仪器设备（包括软件）、抽样、样品制备和前处理装置以及标准物质</w:t>
                  </w:r>
                  <w:r>
                    <w:rPr>
                      <w:sz w:val="24"/>
                      <w:color w:val="000000"/>
                    </w:rPr>
                    <w:t>(</w:t>
                  </w:r>
                  <w:r>
                    <w:rPr>
                      <w:sz w:val="24"/>
                      <w:color w:val="000000"/>
                    </w:rPr>
                    <w:t>参考物质</w:t>
                  </w:r>
                  <w:r>
                    <w:rPr>
                      <w:sz w:val="24"/>
                      <w:color w:val="000000"/>
                    </w:rPr>
                    <w:t>)</w:t>
                  </w:r>
                  <w:r>
                    <w:rPr>
                      <w:sz w:val="24"/>
                      <w:color w:val="000000"/>
                    </w:rPr>
                    <w:t>或标准菌种、数据处理与分析设备等。所用仪器设备的技术指标和功能应满足要求，量程应与被测参数的技术指标相适应。</w:t>
                  </w:r>
                </w:p>
                <w:p>
                  <w:pPr>
                    <w:pStyle w:val="null3"/>
                    <w:ind w:firstLine="480"/>
                    <w:jc w:val="left"/>
                  </w:pPr>
                  <w:r>
                    <w:rPr>
                      <w:sz w:val="24"/>
                      <w:color w:val="000000"/>
                    </w:rPr>
                    <w:t>6.</w:t>
                  </w:r>
                  <w:r>
                    <w:rPr>
                      <w:sz w:val="24"/>
                      <w:color w:val="000000"/>
                    </w:rPr>
                    <w:t>检验机构能够提供高质量的技术服务，能够及时解决抽检过程中遇到的难题。技术团队有相当数量的中、高级职称或硕士以上高学历的技术人员，具有先进的检测设备。</w:t>
                  </w:r>
                </w:p>
                <w:p>
                  <w:pPr>
                    <w:pStyle w:val="null3"/>
                    <w:ind w:firstLine="480"/>
                    <w:jc w:val="left"/>
                  </w:pPr>
                  <w:r>
                    <w:rPr>
                      <w:sz w:val="24"/>
                      <w:color w:val="000000"/>
                    </w:rPr>
                    <w:t>7.</w:t>
                  </w:r>
                  <w:r>
                    <w:rPr>
                      <w:sz w:val="24"/>
                      <w:color w:val="000000"/>
                    </w:rPr>
                    <w:t>检验机构实验室应具备固定的检验工作场所，以及专用于食品检验活动所需的检测、环境控制、冷藏和冷冻、数据处理与分析、信息传输设施和设备。</w:t>
                  </w:r>
                </w:p>
                <w:p>
                  <w:pPr>
                    <w:pStyle w:val="null3"/>
                    <w:ind w:firstLine="480"/>
                    <w:jc w:val="left"/>
                  </w:pPr>
                  <w:r>
                    <w:rPr>
                      <w:sz w:val="24"/>
                      <w:color w:val="000000"/>
                    </w:rPr>
                    <w:t>8.</w:t>
                  </w:r>
                  <w:r>
                    <w:rPr>
                      <w:sz w:val="24"/>
                      <w:color w:val="000000"/>
                    </w:rPr>
                    <w:t>检验机构实验室应当有完善的仪器设备档案、人员技术档案、检验资料档案、标准物质和标准菌种档案。档案保存期限应当满足相关法律法规要求和检验工作追溯需要。</w:t>
                  </w:r>
                </w:p>
                <w:p>
                  <w:pPr>
                    <w:pStyle w:val="null3"/>
                    <w:ind w:firstLine="480"/>
                    <w:jc w:val="left"/>
                  </w:pPr>
                  <w:r>
                    <w:rPr>
                      <w:sz w:val="24"/>
                      <w:color w:val="000000"/>
                    </w:rPr>
                    <w:t>9.</w:t>
                  </w:r>
                  <w:r>
                    <w:rPr>
                      <w:sz w:val="24"/>
                      <w:color w:val="000000"/>
                    </w:rPr>
                    <w:t>检验机构应配备专门从事（有资格）抽样工作的人员，具备专用于食品抽样活动所需的车辆、抽样冷藏设施。</w:t>
                  </w:r>
                </w:p>
                <w:p>
                  <w:pPr>
                    <w:pStyle w:val="null3"/>
                    <w:ind w:firstLine="480"/>
                    <w:jc w:val="left"/>
                  </w:pPr>
                  <w:r>
                    <w:rPr>
                      <w:sz w:val="24"/>
                      <w:color w:val="000000"/>
                    </w:rPr>
                    <w:t>10.</w:t>
                  </w:r>
                  <w:r>
                    <w:rPr>
                      <w:sz w:val="24"/>
                      <w:color w:val="000000"/>
                    </w:rPr>
                    <w:t>检验机构有明确规范的关于承担政府部门委托食品抽样检验的工作制度和程序，实施针对性的专项质量控制活动，严格按照任务委托部门制定的计划、实施方案和指定的检验方法进行抽（采）样、检验和结果上报，不得有意回避或者选择性抽样，不得事先有意告知被抽样单位，不得瞒报、谎报数据结果等信息，不得擅自对外发布或者泄露数据。</w:t>
                  </w:r>
                </w:p>
                <w:p>
                  <w:pPr>
                    <w:pStyle w:val="null3"/>
                    <w:jc w:val="left"/>
                  </w:pPr>
                  <w:r>
                    <w:rPr>
                      <w:sz w:val="24"/>
                      <w:color w:val="000000"/>
                    </w:rPr>
                    <w:t xml:space="preserve">    </w:t>
                  </w:r>
                  <w:r>
                    <w:rPr>
                      <w:sz w:val="24"/>
                      <w:color w:val="000000"/>
                    </w:rPr>
                    <w:t>11.</w:t>
                  </w:r>
                  <w:r>
                    <w:rPr>
                      <w:sz w:val="24"/>
                      <w:color w:val="000000"/>
                    </w:rPr>
                    <w:t>抽样和检验分离。即对某一食品样品的抽检，承检机构派出的抽样人员与检验人员不得为同一人。</w:t>
                  </w:r>
                </w:p>
              </w:tc>
            </w:tr>
          </w:tbl>
          <w:p/>
        </w:tc>
      </w:tr>
      <w:tr>
        <w:tc>
          <w:tcPr>
            <w:tcW w:type="dxa" w:w="2076"/>
          </w:tcPr>
          <w:p/>
        </w:tc>
        <w:tc>
          <w:tcPr>
            <w:tcW w:type="dxa" w:w="415"/>
          </w:tcPr>
          <w:p>
            <w:pPr>
              <w:pStyle w:val="null3"/>
            </w:pPr>
            <w:r>
              <w:rPr/>
              <w:t>4</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采样及送样要求：</w:t>
                  </w:r>
                </w:p>
                <w:p>
                  <w:pPr>
                    <w:pStyle w:val="null3"/>
                    <w:ind w:firstLine="480"/>
                    <w:jc w:val="left"/>
                  </w:pPr>
                  <w:r>
                    <w:rPr>
                      <w:sz w:val="24"/>
                      <w:color w:val="000000"/>
                    </w:rPr>
                    <w:t>1.</w:t>
                  </w:r>
                  <w:r>
                    <w:rPr>
                      <w:sz w:val="24"/>
                      <w:color w:val="000000"/>
                    </w:rPr>
                    <w:t>检验机构应根据抽检计划，安排相关人员及车辆，并提供抽样相关工具、容器，全程协助监督执法人员采样或受县局委托独立开展采样。</w:t>
                  </w:r>
                </w:p>
                <w:p>
                  <w:pPr>
                    <w:pStyle w:val="null3"/>
                    <w:ind w:firstLine="480"/>
                    <w:jc w:val="left"/>
                  </w:pPr>
                  <w:r>
                    <w:rPr>
                      <w:sz w:val="24"/>
                      <w:color w:val="000000"/>
                    </w:rPr>
                    <w:t>2.</w:t>
                  </w:r>
                  <w:r>
                    <w:rPr>
                      <w:sz w:val="24"/>
                      <w:color w:val="000000"/>
                    </w:rPr>
                    <w:t>成交供应商在进行食品抽样检验时，需依据“广东省市场监督管理局制定的《广东省食品安全监督抽检实施细则</w:t>
                  </w:r>
                  <w:r>
                    <w:rPr>
                      <w:sz w:val="24"/>
                      <w:color w:val="000000"/>
                    </w:rPr>
                    <w:t>202</w:t>
                  </w:r>
                  <w:r>
                    <w:rPr>
                      <w:sz w:val="24"/>
                      <w:color w:val="000000"/>
                    </w:rPr>
                    <w:t>6</w:t>
                  </w:r>
                  <w:r>
                    <w:rPr>
                      <w:sz w:val="24"/>
                      <w:color w:val="000000"/>
                    </w:rPr>
                    <w:t>版》</w:t>
                  </w:r>
                  <w:r>
                    <w:rPr>
                      <w:sz w:val="24"/>
                      <w:color w:val="000000"/>
                    </w:rPr>
                    <w:t>”的有关规定，并严格按照县局抽检监测计划规定的抽查产品类别、抽查批次和抽查时间安排等开展抽检有关工作。同时严格按照《食品安全法》的规定购买抽取的样品，不得向企业和个人收取检验费和其他任何费用，购买样品费用由检验机构承担。</w:t>
                  </w:r>
                </w:p>
                <w:p>
                  <w:pPr>
                    <w:pStyle w:val="null3"/>
                    <w:ind w:firstLine="480"/>
                    <w:jc w:val="left"/>
                  </w:pPr>
                  <w:r>
                    <w:rPr>
                      <w:sz w:val="24"/>
                      <w:color w:val="000000"/>
                    </w:rPr>
                    <w:t>3.</w:t>
                  </w:r>
                  <w:r>
                    <w:rPr>
                      <w:sz w:val="24"/>
                      <w:color w:val="000000"/>
                    </w:rPr>
                    <w:t>检验机构应及时响应应急任务需求，具备实施应急抽检的能力和经验。</w:t>
                  </w:r>
                </w:p>
                <w:p>
                  <w:pPr>
                    <w:pStyle w:val="null3"/>
                    <w:ind w:firstLine="480"/>
                    <w:jc w:val="left"/>
                  </w:pPr>
                  <w:r>
                    <w:rPr>
                      <w:sz w:val="24"/>
                      <w:color w:val="000000"/>
                    </w:rPr>
                    <w:t>4.</w:t>
                  </w:r>
                  <w:r>
                    <w:rPr>
                      <w:sz w:val="24"/>
                      <w:color w:val="000000"/>
                    </w:rPr>
                    <w:t>采样需保证覆盖率，食品生产企业做到全覆盖，食品经营企业要按县局提供的企业名单按比例均衡采样，每次对同一企业采样数不得超过</w:t>
                  </w:r>
                  <w:r>
                    <w:rPr>
                      <w:sz w:val="24"/>
                      <w:color w:val="000000"/>
                    </w:rPr>
                    <w:t>3</w:t>
                  </w:r>
                  <w:r>
                    <w:rPr>
                      <w:sz w:val="24"/>
                      <w:color w:val="000000"/>
                    </w:rPr>
                    <w:t>批次，全年不超过</w:t>
                  </w:r>
                  <w:r>
                    <w:rPr>
                      <w:sz w:val="24"/>
                      <w:color w:val="000000"/>
                    </w:rPr>
                    <w:t>6</w:t>
                  </w:r>
                  <w:r>
                    <w:rPr>
                      <w:sz w:val="24"/>
                      <w:color w:val="000000"/>
                    </w:rPr>
                    <w:t>批次，全年对同一连锁企业的采样数不得超过</w:t>
                  </w:r>
                  <w:r>
                    <w:rPr>
                      <w:sz w:val="24"/>
                      <w:color w:val="000000"/>
                    </w:rPr>
                    <w:t>15</w:t>
                  </w:r>
                  <w:r>
                    <w:rPr>
                      <w:sz w:val="24"/>
                      <w:color w:val="000000"/>
                    </w:rPr>
                    <w:t>批次。</w:t>
                  </w:r>
                </w:p>
                <w:p>
                  <w:pPr>
                    <w:pStyle w:val="null3"/>
                    <w:jc w:val="left"/>
                  </w:pPr>
                  <w:r>
                    <w:rPr>
                      <w:sz w:val="24"/>
                      <w:color w:val="000000"/>
                    </w:rPr>
                    <w:t xml:space="preserve">    </w:t>
                  </w:r>
                  <w:r>
                    <w:rPr>
                      <w:sz w:val="24"/>
                      <w:color w:val="000000"/>
                    </w:rPr>
                    <w:t>5.</w:t>
                  </w:r>
                  <w:r>
                    <w:rPr>
                      <w:sz w:val="24"/>
                      <w:color w:val="000000"/>
                    </w:rPr>
                    <w:t>样品的采样、送检、留样需严格按国家有关规定执行。</w:t>
                  </w:r>
                </w:p>
              </w:tc>
            </w:tr>
          </w:tbl>
          <w:p/>
        </w:tc>
      </w:tr>
      <w:tr>
        <w:tc>
          <w:tcPr>
            <w:tcW w:type="dxa" w:w="2076"/>
          </w:tcPr>
          <w:p/>
        </w:tc>
        <w:tc>
          <w:tcPr>
            <w:tcW w:type="dxa" w:w="415"/>
          </w:tcPr>
          <w:p>
            <w:pPr>
              <w:pStyle w:val="null3"/>
            </w:pPr>
            <w:r>
              <w:rPr/>
              <w:t>5</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其他事项</w:t>
                  </w:r>
                </w:p>
                <w:p>
                  <w:pPr>
                    <w:pStyle w:val="null3"/>
                    <w:ind w:firstLine="480"/>
                    <w:jc w:val="left"/>
                  </w:pPr>
                  <w:r>
                    <w:rPr>
                      <w:sz w:val="24"/>
                      <w:color w:val="000000"/>
                    </w:rPr>
                    <w:t>1.</w:t>
                  </w:r>
                  <w:r>
                    <w:rPr>
                      <w:sz w:val="24"/>
                      <w:color w:val="000000"/>
                    </w:rPr>
                    <w:t>每次任务的检验项目由采购人确定，方有资格承担该任务。</w:t>
                  </w:r>
                </w:p>
                <w:p>
                  <w:pPr>
                    <w:pStyle w:val="null3"/>
                    <w:ind w:firstLine="480"/>
                    <w:jc w:val="left"/>
                  </w:pPr>
                  <w:r>
                    <w:rPr>
                      <w:sz w:val="24"/>
                      <w:color w:val="000000"/>
                    </w:rPr>
                    <w:t>2.</w:t>
                  </w:r>
                  <w:r>
                    <w:rPr>
                      <w:sz w:val="24"/>
                      <w:color w:val="000000"/>
                    </w:rPr>
                    <w:t>除采购人同意外，成交供应商不得将检验任务外包或分包给其他检验机构检验，一经发现，立即取消承检资格并承担相应的法律责任。</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1.采购代理机构：本项目是指河源市新启项目咨询管理有限公司，负责整个采购活动的组织，依法负责编制和发布磋商文件，对磋商文件拥有最终的解释权，不以任何身份出任磋商小组成员。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连平县市场监督管理局</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响应保函提交方式：供应商可通过"广东政府采购智慧云平台金融服务中心"(https://gdgpo.czt.gd.gov.cn/zcdservice/zcd/guangdong/)，申请办理响应担保函、保险（保证）凭证，成功出函的等效于现金缴纳响应保证金。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采购机构代理服务收费标准：参照省物价局（计价格【2002】1980号）文规定进行收取</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 xml:space="preserve">（2）非加密电子版文件 U 盘(或光盘) </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pPr>
              <w:pStyle w:val="null3"/>
              <w:jc w:val="left"/>
            </w:pPr>
            <w:r>
              <w:rPr/>
              <w:t>联合体投标盖章要求，若为联合体响应的， 响应文件除联合体共同响应协议书需联合体各方盖章外， 其余响应文件内容只需联合体的牵头人盖章， 不需要联合体各方盖章。 联合体响应的， 除联合体共同响应协议书外， 响应文件格式落款中的“供应商”填写联合体各方单位全称[格式表示为（ 主） XXX 公司（ 成） XXX 公司]</w:t>
            </w: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河源市新启项目咨询管理有限公司</w:t>
      </w:r>
      <w:r>
        <w:rPr/>
        <w:t>代收。具体操作要求详见</w:t>
      </w:r>
      <w:r>
        <w:rPr/>
        <w:t>河源市新启项目咨询管理有限公司</w:t>
      </w:r>
      <w:r>
        <w:rPr/>
        <w:t>有关指引，递交事宜请自行咨询</w:t>
      </w:r>
      <w:r>
        <w:rPr/>
        <w:t>河源市新启项目咨询管理有限公司</w:t>
      </w:r>
      <w:r>
        <w:rPr/>
        <w:t>；请各供应商在响应文件递交截止时间前按须知前附表规定的金额递交至</w:t>
      </w:r>
      <w:r>
        <w:rPr/>
        <w:t>河源市新启项目咨询管理有限公司</w:t>
      </w:r>
      <w:r>
        <w:rPr/>
        <w:t>，到账情况以开启时</w:t>
      </w:r>
      <w:r>
        <w:rPr/>
        <w:t>河源市新启项目咨询管理有限公司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王先生</w:t>
      </w:r>
    </w:p>
    <w:p>
      <w:pPr>
        <w:pStyle w:val="null3"/>
        <w:ind w:firstLine="480"/>
      </w:pPr>
      <w:r>
        <w:rPr/>
        <w:t>电话：</w:t>
      </w:r>
      <w:r>
        <w:rPr/>
        <w:t>0762-6743898</w:t>
      </w:r>
    </w:p>
    <w:p>
      <w:pPr>
        <w:pStyle w:val="null3"/>
        <w:ind w:firstLine="480"/>
      </w:pPr>
      <w:r>
        <w:rPr/>
        <w:t>传真：</w:t>
      </w:r>
      <w:r>
        <w:rPr/>
        <w:t>0762-6743898</w:t>
      </w:r>
    </w:p>
    <w:p>
      <w:pPr>
        <w:pStyle w:val="null3"/>
        <w:ind w:firstLine="480"/>
      </w:pPr>
      <w:r>
        <w:rPr/>
        <w:t>邮箱：</w:t>
      </w:r>
      <w:r>
        <w:rPr/>
        <w:t>315463802@qq.com</w:t>
      </w:r>
    </w:p>
    <w:p>
      <w:pPr>
        <w:pStyle w:val="null3"/>
        <w:ind w:firstLine="480"/>
      </w:pPr>
      <w:r>
        <w:rPr/>
        <w:t>地址：</w:t>
      </w:r>
      <w:r>
        <w:rPr/>
        <w:t>河源市连平县元善镇肖国排新村苑第一、二层</w:t>
      </w:r>
    </w:p>
    <w:p>
      <w:pPr>
        <w:pStyle w:val="null3"/>
        <w:ind w:firstLine="480"/>
      </w:pPr>
      <w:r>
        <w:rPr/>
        <w:t>邮编：</w:t>
      </w:r>
      <w:r>
        <w:rPr/>
        <w:t>517100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政府采购监督管理机构名称：连平县财政局政府采购监管股</w:t>
      </w:r>
    </w:p>
    <w:p>
      <w:pPr>
        <w:pStyle w:val="null3"/>
      </w:pPr>
      <w:r>
        <w:rPr/>
        <w:t>地 址：河源市连平县新城大道</w:t>
      </w:r>
    </w:p>
    <w:p>
      <w:pPr>
        <w:pStyle w:val="null3"/>
      </w:pPr>
      <w:r>
        <w:rPr/>
        <w:t>电 话：0762-4322035</w:t>
      </w:r>
    </w:p>
    <w:p>
      <w:pPr>
        <w:pStyle w:val="null3"/>
      </w:pPr>
      <w:r>
        <w:rPr/>
        <w:t>邮 编：517100</w:t>
      </w:r>
    </w:p>
    <w:p>
      <w:pPr>
        <w:pStyle w:val="null3"/>
      </w:pPr>
      <w:r>
        <w:rPr/>
        <w:t>传 真：0762-4322035</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采购包1(流通环节)：综合评分法,是指响应文件满足磋商文件全部实质性要求，且按照评审因素的量化指标评审得分最高的投标人为成交候选人的评标方法。（最低报价不是成交的唯一依据。）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河源市新启项目咨询管理有限公司</w:t>
      </w:r>
      <w:r>
        <w:rPr/>
        <w:t>统一对外发布。</w:t>
      </w:r>
    </w:p>
    <w:p>
      <w:pPr>
        <w:pStyle w:val="null3"/>
        <w:ind w:firstLine="480"/>
      </w:pPr>
      <w:r>
        <w:rPr/>
        <w:t>（2）对</w:t>
      </w:r>
      <w:r>
        <w:rPr/>
        <w:t>河源市新启项目咨询管理有限公司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采购包1（流通环节）：</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采购包1（流通环节）：</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具有独立承担民事责任能力的在中华人民共和国境内注册的法人或其他组织或自然人：提供有效的营业执照或事业法人登记证或身份证等相关证明文件</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提供资格条件承诺函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提供资格条件承诺函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提供资格条件承诺函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在“中国执行信息公开网”（http://zxgk.court.gov.cn）未被列入“失信被执行人名单”；在“信用中国”网站（http://www.creditchina.gov.cn）未被列入“重大税收违法案件当事人”或“重大税收违法失信主体”记录名单；在中国政府采购网（http://www.ccgp.gov.cn）未被列入“政府采购严重违法失信行为记录名单”【提供资格条件承诺函】。</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供应商必须符合法律、行政法规规定的其他条件：（1）单位负责人为同一人或者存在直接控股、管理关系的不同供应商，不得参加同一合同项下的政府采购活动（提供声明函）； （2）为本项目提供整体设计、规范编制或者项目管理、监理、检测等服务的供应商，不得再参加本项目的采购活动（提供声明函）；</w:t>
            </w:r>
          </w:p>
        </w:tc>
      </w:tr>
      <w:tr>
        <w:tc>
          <w:tcPr>
            <w:tcW w:type="dxa" w:w="890"/>
          </w:tcPr>
          <w:p>
            <w:pPr>
              <w:pStyle w:val="null3"/>
            </w:pPr>
            <w:r>
              <w:rPr/>
              <w:t>8</w:t>
            </w:r>
          </w:p>
        </w:tc>
        <w:tc>
          <w:tcPr>
            <w:tcW w:type="dxa" w:w="3178"/>
          </w:tcPr>
          <w:p>
            <w:pPr>
              <w:pStyle w:val="null3"/>
            </w:pPr>
            <w:r>
              <w:rPr/>
              <w:t>响应供应商必须具有有效的食品检验机构资质认定证书（CMAF）或检验检测机构资质认定证书（CMA）如国家另有规定，则适用其规定</w:t>
            </w:r>
          </w:p>
        </w:tc>
        <w:tc>
          <w:tcPr>
            <w:tcW w:type="dxa" w:w="4238"/>
          </w:tcPr>
          <w:p>
            <w:pPr>
              <w:pStyle w:val="null3"/>
            </w:pPr>
            <w:r>
              <w:rPr/>
              <w:t>响应供应商必须具有有效的食品检验机构资质认定证书（CMAF）或检验检测机构资质认定证书（CMA）；如国家另有规定，则适用其规定（提供证书扫描件）。</w:t>
            </w:r>
          </w:p>
        </w:tc>
      </w:tr>
      <w:tr>
        <w:tc>
          <w:tcPr>
            <w:tcW w:type="dxa" w:w="890"/>
          </w:tcPr>
          <w:p>
            <w:pPr>
              <w:pStyle w:val="null3"/>
            </w:pPr>
            <w:r>
              <w:rPr/>
              <w:t>9</w:t>
            </w:r>
          </w:p>
        </w:tc>
        <w:tc>
          <w:tcPr>
            <w:tcW w:type="dxa" w:w="3178"/>
          </w:tcPr>
          <w:p>
            <w:pPr>
              <w:pStyle w:val="null3"/>
            </w:pPr>
            <w:r>
              <w:rPr/>
              <w:t>本项目接受联合体响应</w:t>
            </w:r>
          </w:p>
        </w:tc>
        <w:tc>
          <w:tcPr>
            <w:tcW w:type="dxa" w:w="4238"/>
          </w:tcPr>
          <w:p>
            <w:pPr>
              <w:pStyle w:val="null3"/>
            </w:pPr>
            <w:r>
              <w:rPr/>
              <w:t>本项目接受联合体响应，如为联合体响应时须提供联合体协议书。联合体协议书应明确约定各方拟承担的工作和责任。联合体各方签订联合体协议书后，不得再以自己名义单独响应或加入其他联合体在同一项目中进行响应，如有违反，其和与此有关的联合体的响应将被拒绝。</w:t>
            </w:r>
          </w:p>
        </w:tc>
      </w:tr>
      <w:tr>
        <w:tc>
          <w:tcPr>
            <w:tcW w:type="dxa" w:w="890"/>
          </w:tcPr>
          <w:p>
            <w:pPr>
              <w:pStyle w:val="null3"/>
            </w:pPr>
            <w:r>
              <w:rPr/>
              <w:t>10</w:t>
            </w:r>
          </w:p>
        </w:tc>
        <w:tc>
          <w:tcPr>
            <w:tcW w:type="dxa" w:w="3178"/>
          </w:tcPr>
          <w:p>
            <w:pPr>
              <w:pStyle w:val="null3"/>
            </w:pPr>
            <w:r>
              <w:rPr/>
              <w:t>促进中小企业发展</w:t>
            </w:r>
          </w:p>
        </w:tc>
        <w:tc>
          <w:tcPr>
            <w:tcW w:type="dxa" w:w="4238"/>
          </w:tcPr>
          <w:p>
            <w:pPr>
              <w:pStyle w:val="null3"/>
            </w:pPr>
            <w:r>
              <w:rPr/>
              <w:t>参与的供应商（联合体）服务全部由符合政策要求的中小企业承接（提供中小企业声明函）</w:t>
            </w:r>
          </w:p>
        </w:tc>
      </w:tr>
    </w:tbl>
    <w:p>
      <w:pPr>
        <w:pStyle w:val="null3"/>
        <w:ind w:firstLine="480"/>
      </w:pPr>
      <w:r>
        <w:rPr/>
        <w:t>表二符合性审查表：</w:t>
      </w:r>
    </w:p>
    <w:p>
      <w:pPr>
        <w:pStyle w:val="null3"/>
      </w:pPr>
      <w:r>
        <w:rPr/>
        <w:t>采购包1（流通环节）：</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响应文件签字授权</w:t>
            </w:r>
          </w:p>
        </w:tc>
        <w:tc>
          <w:tcPr>
            <w:tcW w:type="dxa" w:w="4238"/>
          </w:tcPr>
          <w:p>
            <w:pPr>
              <w:pStyle w:val="null3"/>
            </w:pPr>
            <w:r>
              <w:rPr/>
              <w:t>响应文件签字人非法定代表人的须提供法定代表人的有效授权。</w:t>
            </w:r>
          </w:p>
        </w:tc>
      </w:tr>
      <w:tr>
        <w:tc>
          <w:tcPr>
            <w:tcW w:type="dxa" w:w="890"/>
          </w:tcPr>
          <w:p>
            <w:pPr>
              <w:pStyle w:val="null3"/>
            </w:pPr>
            <w:r>
              <w:rPr/>
              <w:t>2</w:t>
            </w:r>
          </w:p>
        </w:tc>
        <w:tc>
          <w:tcPr>
            <w:tcW w:type="dxa" w:w="3178"/>
          </w:tcPr>
          <w:p>
            <w:pPr>
              <w:pStyle w:val="null3"/>
            </w:pPr>
            <w:r>
              <w:rPr/>
              <w:t>响应有效期</w:t>
            </w:r>
          </w:p>
        </w:tc>
        <w:tc>
          <w:tcPr>
            <w:tcW w:type="dxa" w:w="4238"/>
          </w:tcPr>
          <w:p>
            <w:pPr>
              <w:pStyle w:val="null3"/>
            </w:pPr>
            <w:r>
              <w:rPr/>
              <w:t>响应有效期符合采购文件的要求。</w:t>
            </w:r>
          </w:p>
        </w:tc>
      </w:tr>
      <w:tr>
        <w:tc>
          <w:tcPr>
            <w:tcW w:type="dxa" w:w="890"/>
          </w:tcPr>
          <w:p>
            <w:pPr>
              <w:pStyle w:val="null3"/>
            </w:pPr>
            <w:r>
              <w:rPr/>
              <w:t>3</w:t>
            </w:r>
          </w:p>
        </w:tc>
        <w:tc>
          <w:tcPr>
            <w:tcW w:type="dxa" w:w="3178"/>
          </w:tcPr>
          <w:p>
            <w:pPr>
              <w:pStyle w:val="null3"/>
            </w:pPr>
            <w:r>
              <w:rPr/>
              <w:t>响应文件的签署及盖章</w:t>
            </w:r>
          </w:p>
        </w:tc>
        <w:tc>
          <w:tcPr>
            <w:tcW w:type="dxa" w:w="4238"/>
          </w:tcPr>
          <w:p>
            <w:pPr>
              <w:pStyle w:val="null3"/>
            </w:pPr>
            <w:r>
              <w:rPr/>
              <w:t>响应文件是符合采购文件的要求。若为联合体响应的， 响应文件除联合体共同响应协议书需联合体各方盖章外， 其余响应文件内容只需联合体的牵头人盖章， 不需要联合体各方盖章。 联合体响应的， 除联合体共同响应协议书外， 响应文件格式落款中的“供应商”填写联合体各方单位全称[格式表示为（ 主） XXX 公司（ 成） XXX 公司]</w:t>
            </w:r>
          </w:p>
        </w:tc>
      </w:tr>
      <w:tr>
        <w:tc>
          <w:tcPr>
            <w:tcW w:type="dxa" w:w="890"/>
          </w:tcPr>
          <w:p>
            <w:pPr>
              <w:pStyle w:val="null3"/>
            </w:pPr>
            <w:r>
              <w:rPr/>
              <w:t>4</w:t>
            </w:r>
          </w:p>
        </w:tc>
        <w:tc>
          <w:tcPr>
            <w:tcW w:type="dxa" w:w="3178"/>
          </w:tcPr>
          <w:p>
            <w:pPr>
              <w:pStyle w:val="null3"/>
            </w:pPr>
            <w:r>
              <w:rPr/>
              <w:t>响应情况</w:t>
            </w:r>
          </w:p>
        </w:tc>
        <w:tc>
          <w:tcPr>
            <w:tcW w:type="dxa" w:w="4238"/>
          </w:tcPr>
          <w:p>
            <w:pPr>
              <w:pStyle w:val="null3"/>
            </w:pPr>
            <w:r>
              <w:rPr/>
              <w:t>符合★号条款，商务和技术响应内容没有严重偏离采购需求。</w:t>
            </w:r>
          </w:p>
        </w:tc>
      </w:tr>
      <w:tr>
        <w:tc>
          <w:tcPr>
            <w:tcW w:type="dxa" w:w="890"/>
          </w:tcPr>
          <w:p>
            <w:pPr>
              <w:pStyle w:val="null3"/>
            </w:pPr>
            <w:r>
              <w:rPr/>
              <w:t>5</w:t>
            </w:r>
          </w:p>
        </w:tc>
        <w:tc>
          <w:tcPr>
            <w:tcW w:type="dxa" w:w="3178"/>
          </w:tcPr>
          <w:p>
            <w:pPr>
              <w:pStyle w:val="null3"/>
            </w:pPr>
            <w:r>
              <w:rPr/>
              <w:t>报价</w:t>
            </w:r>
          </w:p>
        </w:tc>
        <w:tc>
          <w:tcPr>
            <w:tcW w:type="dxa" w:w="4238"/>
          </w:tcPr>
          <w:p>
            <w:pPr>
              <w:pStyle w:val="null3"/>
            </w:pPr>
            <w:r>
              <w:rPr/>
              <w:t>（1）报价是固定不变价；（2）报价无明显不合理或低于合理成本价；（3）报价没有超出采购预算。</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采购包1(流通环节):</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商务部分45.0分</w:t>
            </w:r>
          </w:p>
          <w:p>
            <w:pPr>
              <w:pStyle w:val="null3"/>
            </w:pPr>
            <w:r>
              <w:rPr/>
              <w:t>技术部分45.0分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实施方案 (15.0分)</w:t>
            </w:r>
          </w:p>
        </w:tc>
        <w:tc>
          <w:tcPr>
            <w:tcW w:type="dxa" w:w="5076"/>
          </w:tcPr>
          <w:p>
            <w:pPr>
              <w:pStyle w:val="null3"/>
              <w:jc w:val="left"/>
            </w:pPr>
            <w:r>
              <w:rPr/>
              <w:t>根据各响应供应商提供的实施方案（包含但不限于对本项目、重难点分析、抽检的流程等内容）进行评审： 1.实施方案合理，可操作性强，构思方案优秀，整体思路清晰，重点突出，难点分析到位，方案完全涉及细则编制、抽样、检验、总结分析、后续服务等流程，得15分； 2.实施方案较合理，可操作性较强，构思方案良好，整体思路较清晰，重点难点分析较到位，方案完全涉及细则编制、抽样、检验、总结分析、后续服务等流程，得11分； 3.实施方案一般，可操作性一般，构思方案一般，整体思路不够清晰，重点难点分析一般，方案不完全涉及细则编制、抽样、检验、总结分析、后续服务等流程，得7分； 4.实施方案差，可操作性差，构思方案差，整体思路不清晰，重点难点分析较少，方案不完全涉及细则编制、抽样、检验、总结分析、后续服务等流程，得3分； 注：未提供方案，不得分。</w:t>
            </w:r>
          </w:p>
        </w:tc>
      </w:tr>
      <w:tr>
        <w:tc>
          <w:tcPr>
            <w:tcW w:type="dxa" w:w="922"/>
            <w:gridSpan w:val="2"/>
            <w:vMerge/>
          </w:tcPr>
          <w:p/>
        </w:tc>
        <w:tc>
          <w:tcPr>
            <w:tcW w:type="dxa" w:w="2307"/>
          </w:tcPr>
          <w:p>
            <w:pPr>
              <w:pStyle w:val="null3"/>
              <w:jc w:val="left"/>
            </w:pPr>
            <w:r>
              <w:rPr/>
              <w:t>突发事件 响应方案 (10.0分)</w:t>
            </w:r>
          </w:p>
        </w:tc>
        <w:tc>
          <w:tcPr>
            <w:tcW w:type="dxa" w:w="5076"/>
          </w:tcPr>
          <w:p>
            <w:pPr>
              <w:pStyle w:val="null3"/>
              <w:jc w:val="left"/>
            </w:pPr>
            <w:r>
              <w:rPr/>
              <w:t>根据各响应供应商提供的突发事件响应方案进行评审： 1. 提供完整、流程清晰、可操作性强的应急响应方案，能够全面覆盖本采购需求各项应急响应要求；承诺接到应急指令后4小时内抵达现场的得10分； 2.提供比较完整、流程比较清晰、可操作性比较强的应急响应方案，能够基本覆盖本采购需求各项应急响应要求；承诺接到应急指令后4小时内抵达现场的得7分； 3.提供应急响应方案较不完整、流程较不清晰、可操作性较差，基本覆盖本采购需求各项应急响应要求；承诺接到应急指令后大于4小时抵达现场的得4分； 注：不提供不得分。</w:t>
            </w:r>
          </w:p>
        </w:tc>
      </w:tr>
      <w:tr>
        <w:tc>
          <w:tcPr>
            <w:tcW w:type="dxa" w:w="922"/>
            <w:gridSpan w:val="2"/>
            <w:vMerge/>
          </w:tcPr>
          <w:p/>
        </w:tc>
        <w:tc>
          <w:tcPr>
            <w:tcW w:type="dxa" w:w="2307"/>
          </w:tcPr>
          <w:p>
            <w:pPr>
              <w:pStyle w:val="null3"/>
              <w:jc w:val="left"/>
            </w:pPr>
            <w:r>
              <w:rPr/>
              <w:t>服务保障措施 及服务承诺 (10.0分)</w:t>
            </w:r>
          </w:p>
        </w:tc>
        <w:tc>
          <w:tcPr>
            <w:tcW w:type="dxa" w:w="5076"/>
          </w:tcPr>
          <w:p>
            <w:pPr>
              <w:pStyle w:val="null3"/>
              <w:jc w:val="left"/>
            </w:pPr>
            <w:r>
              <w:rPr/>
              <w:t>根据响应供应商提供的按时按质完成研究的保障措施和服务承诺进行综合评审： 1.保障措施及服务承诺较详细且可行性高，得10分； 2.保障措施及服务承诺一般且可行性一般，得7分； 3.保障措施及服务承诺不完整且可行性较差，得4分； 4.保障措施及服务承诺为差，得1分。 注：未提供方案，不得分。</w:t>
            </w:r>
          </w:p>
        </w:tc>
      </w:tr>
      <w:tr>
        <w:tc>
          <w:tcPr>
            <w:tcW w:type="dxa" w:w="922"/>
            <w:gridSpan w:val="2"/>
            <w:vMerge/>
          </w:tcPr>
          <w:p/>
        </w:tc>
        <w:tc>
          <w:tcPr>
            <w:tcW w:type="dxa" w:w="2307"/>
          </w:tcPr>
          <w:p>
            <w:pPr>
              <w:pStyle w:val="null3"/>
              <w:jc w:val="left"/>
            </w:pPr>
            <w:r>
              <w:rPr/>
              <w:t>规章管理制度 (10.0分)</w:t>
            </w:r>
          </w:p>
        </w:tc>
        <w:tc>
          <w:tcPr>
            <w:tcW w:type="dxa" w:w="5076"/>
          </w:tcPr>
          <w:p>
            <w:pPr>
              <w:pStyle w:val="null3"/>
              <w:jc w:val="left"/>
            </w:pPr>
            <w:r>
              <w:rPr/>
              <w:t>响应供应商制定了相应的管理制度：①公司管理制度②抽样管理制度③检验检测管理制度④信息保密制度⑤应急响应制度。 提供以上制度，且制度完善、措施有力，切实可行，操作性强的，每项制度得2分，最高得10分； 措施不完善、操作性低，或不提供相应制度的，不得分。</w:t>
            </w:r>
          </w:p>
        </w:tc>
      </w:tr>
      <w:tr>
        <w:tc>
          <w:tcPr>
            <w:tcW w:type="dxa" w:w="922"/>
            <w:gridSpan w:val="2"/>
            <w:vMerge w:val="restart"/>
          </w:tcPr>
          <w:p>
            <w:pPr>
              <w:pStyle w:val="null3"/>
              <w:jc w:val="center"/>
            </w:pPr>
            <w:r>
              <w:rPr/>
              <w:t>商务部分</w:t>
            </w:r>
          </w:p>
        </w:tc>
        <w:tc>
          <w:tcPr>
            <w:tcW w:type="dxa" w:w="2307"/>
          </w:tcPr>
          <w:p>
            <w:pPr>
              <w:pStyle w:val="null3"/>
              <w:jc w:val="left"/>
            </w:pPr>
            <w:r>
              <w:rPr/>
              <w:t>项目经验 (10.0分)</w:t>
            </w:r>
          </w:p>
        </w:tc>
        <w:tc>
          <w:tcPr>
            <w:tcW w:type="dxa" w:w="5076"/>
          </w:tcPr>
          <w:p>
            <w:pPr>
              <w:pStyle w:val="null3"/>
              <w:jc w:val="left"/>
            </w:pPr>
            <w:r>
              <w:rPr/>
              <w:t>2023年1月1日至今（以合同签订时间为准）承担过同类项目的，每提供一个得2分，最多得10分。 （注：须提供合同或中标（成交）通知书扫描作为凭证，不提供不得分）。</w:t>
            </w:r>
          </w:p>
        </w:tc>
      </w:tr>
      <w:tr>
        <w:tc>
          <w:tcPr>
            <w:tcW w:type="dxa" w:w="922"/>
            <w:gridSpan w:val="2"/>
            <w:vMerge/>
          </w:tcPr>
          <w:p/>
        </w:tc>
        <w:tc>
          <w:tcPr>
            <w:tcW w:type="dxa" w:w="2307"/>
          </w:tcPr>
          <w:p>
            <w:pPr>
              <w:pStyle w:val="null3"/>
              <w:jc w:val="left"/>
            </w:pPr>
            <w:r>
              <w:rPr/>
              <w:t>项目负责人 (8.0分)</w:t>
            </w:r>
          </w:p>
        </w:tc>
        <w:tc>
          <w:tcPr>
            <w:tcW w:type="dxa" w:w="5076"/>
          </w:tcPr>
          <w:p>
            <w:pPr>
              <w:pStyle w:val="null3"/>
              <w:jc w:val="left"/>
            </w:pPr>
            <w:r>
              <w:rPr/>
              <w:t>响应供应商项目负责人具有（食品、药学、质量、检测、化学、化工、环境等相关领域）高级职称得8分，中级职称得4分，初级职称得2分；本项最高8分。 （注：需提供职称证书及在2026年1月至今任意一个月购买的社保证明材料（若为退休人员则提供退休证及返聘劳动合同），未提供或提供不全不得分。）</w:t>
            </w:r>
          </w:p>
        </w:tc>
      </w:tr>
      <w:tr>
        <w:tc>
          <w:tcPr>
            <w:tcW w:type="dxa" w:w="922"/>
            <w:gridSpan w:val="2"/>
            <w:vMerge/>
          </w:tcPr>
          <w:p/>
        </w:tc>
        <w:tc>
          <w:tcPr>
            <w:tcW w:type="dxa" w:w="2307"/>
          </w:tcPr>
          <w:p>
            <w:pPr>
              <w:pStyle w:val="null3"/>
              <w:jc w:val="left"/>
            </w:pPr>
            <w:r>
              <w:rPr/>
              <w:t>拟投入的技术 人员配备情况 (6.0分)</w:t>
            </w:r>
          </w:p>
        </w:tc>
        <w:tc>
          <w:tcPr>
            <w:tcW w:type="dxa" w:w="5076"/>
          </w:tcPr>
          <w:p>
            <w:pPr>
              <w:pStyle w:val="null3"/>
              <w:jc w:val="left"/>
            </w:pPr>
            <w:r>
              <w:rPr/>
              <w:t>拟投入技术人员（除项目负责人）中具有中级职称(或以上)的，每提供一名得2分，最高得6分。 （注：需提供职称证书及在2026年1月至今任意一个月购买的社保证明材料（若为退休人员则提供退休证及返聘劳动合同），未提供或提供不全不得分。）</w:t>
            </w:r>
          </w:p>
        </w:tc>
      </w:tr>
      <w:tr>
        <w:tc>
          <w:tcPr>
            <w:tcW w:type="dxa" w:w="922"/>
            <w:gridSpan w:val="2"/>
            <w:vMerge/>
          </w:tcPr>
          <w:p/>
        </w:tc>
        <w:tc>
          <w:tcPr>
            <w:tcW w:type="dxa" w:w="2307"/>
          </w:tcPr>
          <w:p>
            <w:pPr>
              <w:pStyle w:val="null3"/>
              <w:jc w:val="left"/>
            </w:pPr>
            <w:r>
              <w:rPr/>
              <w:t>设备投入 (8.0分)</w:t>
            </w:r>
          </w:p>
        </w:tc>
        <w:tc>
          <w:tcPr>
            <w:tcW w:type="dxa" w:w="5076"/>
          </w:tcPr>
          <w:p>
            <w:pPr>
              <w:pStyle w:val="null3"/>
              <w:jc w:val="left"/>
            </w:pPr>
            <w:r>
              <w:rPr/>
              <w:t>响应供应商具有足够对应食品抽检监测的大型检验设备：气质联用仪、高效液相色谱质谱联用仪（液质联用仪）、气相色谱仪、液相色谱仪、原子荧光光度计（原子荧光光谱仪）、原子吸收分光光度计（原子吸收光谱仪）、电感耦合等离子体质谱仪、离子色谱仪。每提供一种设备得1分，最高得8分。 （注：需提供设备清单、图片和购置发票复印件、有效期内校准证书，未提供或提供不全不得分。）</w:t>
            </w:r>
          </w:p>
        </w:tc>
      </w:tr>
      <w:tr>
        <w:tc>
          <w:tcPr>
            <w:tcW w:type="dxa" w:w="922"/>
            <w:gridSpan w:val="2"/>
            <w:vMerge/>
          </w:tcPr>
          <w:p/>
        </w:tc>
        <w:tc>
          <w:tcPr>
            <w:tcW w:type="dxa" w:w="2307"/>
          </w:tcPr>
          <w:p>
            <w:pPr>
              <w:pStyle w:val="null3"/>
              <w:jc w:val="left"/>
            </w:pPr>
            <w:r>
              <w:rPr/>
              <w:t>综合实力 (13.0分)</w:t>
            </w:r>
          </w:p>
        </w:tc>
        <w:tc>
          <w:tcPr>
            <w:tcW w:type="dxa" w:w="5076"/>
          </w:tcPr>
          <w:p>
            <w:pPr>
              <w:pStyle w:val="null3"/>
              <w:jc w:val="left"/>
            </w:pPr>
            <w:r>
              <w:rPr/>
              <w:t>供应商自2023年以来参加省级农产品质量安全检测技术能力验证，包括种植业产品中农药残留检测、种植业产品中重金属检测、畜禽产品中兽药及禁用药物（违禁添加物）残留检测、水产品中药物残留检测等4个考核项目，每个考核项目获A级评价得2分，A级以下评价得1分，未通过不得分，本项最高得13分。（不同年份每个考核项目可累计得分） 注：须提供相关证明材料做为评审依据，未提供或提供不全不得分。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ind w:right="90"/>
        <w:jc w:val="center"/>
      </w:pPr>
      <w:r>
        <w:rPr>
          <w:sz w:val="52"/>
          <w:b/>
        </w:rPr>
        <w:t>广东省政府采购</w:t>
      </w:r>
    </w:p>
    <w:p>
      <w:pPr>
        <w:pStyle w:val="null3"/>
        <w:jc w:val="center"/>
      </w:pPr>
      <w:r>
        <w:rPr>
          <w:sz w:val="21"/>
        </w:rPr>
        <w:t xml:space="preserve"> </w:t>
      </w:r>
    </w:p>
    <w:p>
      <w:pPr>
        <w:pStyle w:val="null3"/>
        <w:jc w:val="center"/>
      </w:pPr>
      <w:r>
        <w:rPr>
          <w:sz w:val="52"/>
          <w:b/>
        </w:rPr>
        <w:t>合　同　书</w:t>
      </w:r>
    </w:p>
    <w:p>
      <w:pPr>
        <w:pStyle w:val="null3"/>
        <w:jc w:val="center"/>
      </w:pPr>
      <w:r>
        <w:br/>
      </w:r>
      <w:r>
        <w:br/>
      </w:r>
      <w:r>
        <w:br/>
      </w:r>
      <w:r>
        <w:rPr>
          <w:sz w:val="21"/>
        </w:rPr>
        <w:t xml:space="preserve">  </w:t>
      </w:r>
    </w:p>
    <w:p>
      <w:pPr>
        <w:pStyle w:val="null3"/>
        <w:jc w:val="center"/>
      </w:pPr>
      <w:r>
        <w:rPr>
          <w:sz w:val="21"/>
        </w:rPr>
        <w:t xml:space="preserve"> </w:t>
      </w:r>
    </w:p>
    <w:p>
      <w:pPr>
        <w:pStyle w:val="null3"/>
        <w:jc w:val="both"/>
      </w:pPr>
      <w:r>
        <w:rPr>
          <w:sz w:val="21"/>
        </w:rPr>
        <w:t xml:space="preserve"> </w:t>
      </w:r>
    </w:p>
    <w:p>
      <w:pPr>
        <w:pStyle w:val="null3"/>
        <w:jc w:val="both"/>
      </w:pPr>
      <w:r>
        <w:rPr>
          <w:sz w:val="28"/>
          <w:color w:val="222222"/>
        </w:rPr>
        <w:t>采购编号：</w:t>
      </w:r>
      <w:r>
        <w:rPr>
          <w:sz w:val="21"/>
          <w:u w:val="single"/>
        </w:rPr>
        <w:t xml:space="preserve">                              </w:t>
      </w:r>
    </w:p>
    <w:p>
      <w:pPr>
        <w:pStyle w:val="null3"/>
        <w:jc w:val="both"/>
      </w:pPr>
      <w:r>
        <w:rPr>
          <w:sz w:val="21"/>
        </w:rPr>
        <w:t xml:space="preserve"> </w:t>
      </w:r>
    </w:p>
    <w:p>
      <w:pPr>
        <w:pStyle w:val="null3"/>
        <w:jc w:val="both"/>
      </w:pPr>
      <w:r>
        <w:rPr>
          <w:sz w:val="28"/>
          <w:color w:val="222222"/>
        </w:rPr>
        <w:t>项目名称：</w:t>
      </w:r>
      <w:r>
        <w:rPr>
          <w:sz w:val="21"/>
          <w:u w:val="single"/>
        </w:rPr>
        <w:t xml:space="preserve">                             </w:t>
      </w:r>
    </w:p>
    <w:p>
      <w:pPr>
        <w:pStyle w:val="null3"/>
        <w:ind w:firstLine="482"/>
        <w:jc w:val="both"/>
      </w:pPr>
      <w:r>
        <w:rPr>
          <w:sz w:val="28"/>
          <w:b/>
        </w:rPr>
        <w:t>甲</w:t>
      </w:r>
      <w:r>
        <w:rPr>
          <w:sz w:val="28"/>
          <w:b/>
        </w:rPr>
        <w:t xml:space="preserve">    </w:t>
      </w:r>
      <w:r>
        <w:rPr>
          <w:sz w:val="28"/>
          <w:b/>
        </w:rPr>
        <w:t>方：</w:t>
      </w:r>
    </w:p>
    <w:p>
      <w:pPr>
        <w:pStyle w:val="null3"/>
      </w:pPr>
      <w:r>
        <w:rPr/>
        <w:t xml:space="preserve"> </w:t>
      </w:r>
    </w:p>
    <w:p>
      <w:pPr>
        <w:pStyle w:val="null3"/>
        <w:ind w:firstLine="480"/>
        <w:jc w:val="both"/>
      </w:pPr>
      <w:r>
        <w:rPr>
          <w:sz w:val="28"/>
        </w:rPr>
        <w:t>电</w:t>
      </w:r>
      <w:r>
        <w:rPr>
          <w:sz w:val="28"/>
        </w:rPr>
        <w:t xml:space="preserve">    </w:t>
      </w:r>
      <w:r>
        <w:rPr>
          <w:sz w:val="28"/>
        </w:rPr>
        <w:t>话：</w:t>
      </w:r>
      <w:r>
        <w:rPr>
          <w:sz w:val="28"/>
        </w:rPr>
        <w:t xml:space="preserve">              </w:t>
      </w:r>
      <w:r>
        <w:rPr>
          <w:sz w:val="28"/>
        </w:rPr>
        <w:t>传</w:t>
      </w:r>
      <w:r>
        <w:rPr>
          <w:sz w:val="28"/>
        </w:rPr>
        <w:t xml:space="preserve">  </w:t>
      </w:r>
      <w:r>
        <w:rPr>
          <w:sz w:val="28"/>
        </w:rPr>
        <w:t>真：</w:t>
      </w:r>
      <w:r>
        <w:rPr>
          <w:sz w:val="28"/>
        </w:rPr>
        <w:t xml:space="preserve">           </w:t>
      </w:r>
      <w:r>
        <w:rPr>
          <w:sz w:val="28"/>
        </w:rPr>
        <w:t>地</w:t>
      </w:r>
      <w:r>
        <w:rPr>
          <w:sz w:val="28"/>
        </w:rPr>
        <w:t xml:space="preserve">  </w:t>
      </w:r>
      <w:r>
        <w:rPr>
          <w:sz w:val="28"/>
        </w:rPr>
        <w:t>址：</w:t>
      </w:r>
    </w:p>
    <w:p>
      <w:pPr>
        <w:pStyle w:val="null3"/>
        <w:ind w:firstLine="480"/>
        <w:jc w:val="both"/>
      </w:pPr>
      <w:r>
        <w:rPr>
          <w:sz w:val="28"/>
          <w:b/>
        </w:rPr>
        <w:t>乙</w:t>
      </w:r>
      <w:r>
        <w:rPr>
          <w:sz w:val="28"/>
          <w:b/>
        </w:rPr>
        <w:t xml:space="preserve">    </w:t>
      </w:r>
      <w:r>
        <w:rPr>
          <w:sz w:val="28"/>
          <w:b/>
        </w:rPr>
        <w:t>方：</w:t>
      </w:r>
    </w:p>
    <w:p>
      <w:pPr>
        <w:pStyle w:val="null3"/>
        <w:ind w:firstLine="480"/>
        <w:jc w:val="both"/>
      </w:pPr>
      <w:r>
        <w:rPr>
          <w:sz w:val="28"/>
        </w:rPr>
        <w:t>电</w:t>
      </w:r>
      <w:r>
        <w:rPr>
          <w:sz w:val="28"/>
        </w:rPr>
        <w:t xml:space="preserve">    </w:t>
      </w:r>
      <w:r>
        <w:rPr>
          <w:sz w:val="28"/>
        </w:rPr>
        <w:t>话：</w:t>
      </w:r>
      <w:r>
        <w:rPr>
          <w:sz w:val="28"/>
        </w:rPr>
        <w:t xml:space="preserve">                </w:t>
      </w:r>
      <w:r>
        <w:rPr>
          <w:sz w:val="28"/>
        </w:rPr>
        <w:t>传</w:t>
      </w:r>
      <w:r>
        <w:rPr>
          <w:sz w:val="28"/>
        </w:rPr>
        <w:t xml:space="preserve">  </w:t>
      </w:r>
      <w:r>
        <w:rPr>
          <w:sz w:val="28"/>
        </w:rPr>
        <w:t>真：</w:t>
      </w:r>
      <w:r>
        <w:rPr>
          <w:sz w:val="28"/>
        </w:rPr>
        <w:t xml:space="preserve">           </w:t>
      </w:r>
      <w:r>
        <w:rPr>
          <w:sz w:val="28"/>
        </w:rPr>
        <w:t>地</w:t>
      </w:r>
      <w:r>
        <w:rPr>
          <w:sz w:val="28"/>
        </w:rPr>
        <w:t xml:space="preserve">  </w:t>
      </w:r>
      <w:r>
        <w:rPr>
          <w:sz w:val="28"/>
        </w:rPr>
        <w:t>址：</w:t>
      </w:r>
      <w:r>
        <w:rPr>
          <w:sz w:val="28"/>
        </w:rPr>
        <w:t xml:space="preserve">  </w:t>
      </w:r>
    </w:p>
    <w:p>
      <w:pPr>
        <w:pStyle w:val="null3"/>
        <w:ind w:firstLine="480"/>
        <w:jc w:val="both"/>
      </w:pPr>
      <w:r>
        <w:rPr>
          <w:sz w:val="28"/>
        </w:rPr>
        <w:t>项目名称：</w:t>
      </w:r>
      <w:r>
        <w:rPr>
          <w:sz w:val="28"/>
        </w:rPr>
        <w:t xml:space="preserve">                                   </w:t>
      </w:r>
      <w:r>
        <w:rPr>
          <w:sz w:val="28"/>
        </w:rPr>
        <w:t>采购编号：</w:t>
      </w:r>
    </w:p>
    <w:p>
      <w:pPr>
        <w:pStyle w:val="null3"/>
        <w:ind w:firstLine="480"/>
        <w:jc w:val="both"/>
      </w:pPr>
      <w:r>
        <w:rPr>
          <w:sz w:val="28"/>
        </w:rPr>
        <w:t>根据</w:t>
      </w:r>
      <w:r>
        <w:rPr>
          <w:sz w:val="28"/>
          <w:u w:val="single"/>
        </w:rPr>
        <w:t xml:space="preserve">              </w:t>
      </w:r>
      <w:r>
        <w:rPr>
          <w:sz w:val="28"/>
          <w:u w:val="single"/>
        </w:rPr>
        <w:t>项目</w:t>
      </w:r>
      <w:r>
        <w:rPr>
          <w:sz w:val="28"/>
        </w:rPr>
        <w:t>的采购结果，按照《中华人民共和国政府采购法》、《中华人民共和国民法典》</w:t>
      </w:r>
      <w:r>
        <w:rPr>
          <w:sz w:val="28"/>
        </w:rPr>
        <w:t>的规定，经双方协商，本着平等互利和诚实信用的原则，一致同意签订本合同如下。</w:t>
      </w:r>
    </w:p>
    <w:p>
      <w:pPr>
        <w:pStyle w:val="null3"/>
        <w:ind w:firstLine="482"/>
        <w:jc w:val="both"/>
      </w:pPr>
      <w:r>
        <w:rPr>
          <w:sz w:val="28"/>
          <w:b/>
        </w:rPr>
        <w:t>一、合同金额</w:t>
      </w:r>
    </w:p>
    <w:p>
      <w:pPr>
        <w:pStyle w:val="null3"/>
        <w:ind w:firstLine="480"/>
        <w:jc w:val="both"/>
      </w:pPr>
      <w:r>
        <w:rPr>
          <w:sz w:val="28"/>
        </w:rPr>
        <w:t>合同金额为（大写）：</w:t>
      </w:r>
      <w:r>
        <w:rPr>
          <w:sz w:val="28"/>
        </w:rPr>
        <w:t>_________________元（¥_______________元）人民币。</w:t>
      </w:r>
    </w:p>
    <w:p>
      <w:pPr>
        <w:pStyle w:val="null3"/>
        <w:jc w:val="both"/>
      </w:pPr>
      <w:r>
        <w:rPr>
          <w:sz w:val="28"/>
          <w:b/>
        </w:rPr>
        <w:t>二</w:t>
      </w:r>
      <w:r>
        <w:rPr>
          <w:sz w:val="28"/>
          <w:b/>
        </w:rPr>
        <w:t>、服务范围</w:t>
      </w:r>
    </w:p>
    <w:p>
      <w:pPr>
        <w:pStyle w:val="null3"/>
        <w:ind w:firstLine="480"/>
        <w:jc w:val="both"/>
      </w:pPr>
      <w:r>
        <w:rPr>
          <w:sz w:val="28"/>
        </w:rPr>
        <w:t>甲方聘请乙方提供以下服务：</w:t>
      </w:r>
    </w:p>
    <w:p>
      <w:pPr>
        <w:pStyle w:val="null3"/>
        <w:ind w:firstLine="480"/>
        <w:jc w:val="both"/>
      </w:pPr>
      <w:r>
        <w:rPr>
          <w:sz w:val="28"/>
        </w:rPr>
        <w:t>1．本合同项下的服务指。</w:t>
      </w:r>
    </w:p>
    <w:p>
      <w:pPr>
        <w:pStyle w:val="null3"/>
        <w:ind w:firstLine="480"/>
        <w:jc w:val="both"/>
      </w:pPr>
      <w:r>
        <w:rPr>
          <w:sz w:val="28"/>
        </w:rPr>
        <w:t>2．......</w:t>
      </w:r>
    </w:p>
    <w:p>
      <w:pPr>
        <w:pStyle w:val="null3"/>
        <w:jc w:val="both"/>
      </w:pPr>
      <w:r>
        <w:rPr>
          <w:sz w:val="28"/>
          <w:b/>
        </w:rPr>
        <w:t>三</w:t>
      </w:r>
      <w:r>
        <w:rPr>
          <w:sz w:val="28"/>
          <w:b/>
        </w:rPr>
        <w:t>、甲方乙方的权利和义务</w:t>
      </w:r>
    </w:p>
    <w:p>
      <w:pPr>
        <w:pStyle w:val="null3"/>
        <w:ind w:firstLine="480"/>
        <w:jc w:val="both"/>
      </w:pPr>
      <w:r>
        <w:rPr>
          <w:sz w:val="28"/>
        </w:rPr>
        <w:t>（一）</w:t>
      </w:r>
      <w:r>
        <w:rPr>
          <w:sz w:val="28"/>
        </w:rPr>
        <w:t>甲方的权利和义务</w:t>
      </w:r>
    </w:p>
    <w:p>
      <w:pPr>
        <w:pStyle w:val="null3"/>
        <w:ind w:firstLine="480"/>
        <w:jc w:val="both"/>
      </w:pPr>
      <w:r>
        <w:rPr>
          <w:sz w:val="28"/>
        </w:rPr>
        <w:t>（二）</w:t>
      </w:r>
      <w:r>
        <w:rPr>
          <w:sz w:val="28"/>
        </w:rPr>
        <w:t>乙方的权利和义务</w:t>
      </w:r>
    </w:p>
    <w:p>
      <w:pPr>
        <w:pStyle w:val="null3"/>
        <w:jc w:val="both"/>
      </w:pPr>
      <w:r>
        <w:rPr>
          <w:sz w:val="28"/>
          <w:b/>
        </w:rPr>
        <w:t>四</w:t>
      </w:r>
      <w:r>
        <w:rPr>
          <w:sz w:val="28"/>
          <w:b/>
        </w:rPr>
        <w:t>、服务期限：</w:t>
      </w:r>
      <w:r>
        <w:rPr>
          <w:sz w:val="28"/>
        </w:rPr>
        <w:t>一年，即自合同签订之日起一年期满</w:t>
      </w:r>
      <w:r>
        <w:rPr>
          <w:sz w:val="28"/>
        </w:rPr>
        <w:t>。</w:t>
      </w:r>
    </w:p>
    <w:p>
      <w:pPr>
        <w:pStyle w:val="null3"/>
        <w:jc w:val="left"/>
      </w:pPr>
      <w:r>
        <w:rPr>
          <w:sz w:val="28"/>
          <w:b/>
        </w:rPr>
        <w:t>五</w:t>
      </w:r>
      <w:r>
        <w:rPr>
          <w:sz w:val="28"/>
          <w:b/>
        </w:rPr>
        <w:t>、付款方式：</w:t>
      </w:r>
    </w:p>
    <w:p>
      <w:pPr>
        <w:pStyle w:val="null3"/>
        <w:spacing w:after="120"/>
        <w:jc w:val="both"/>
      </w:pPr>
      <w:r>
        <w:rPr>
          <w:sz w:val="28"/>
        </w:rPr>
        <w:t>1期：支付比例100%,由采购人按下列程序付款：</w:t>
      </w:r>
    </w:p>
    <w:p>
      <w:pPr>
        <w:pStyle w:val="null3"/>
        <w:spacing w:after="120"/>
        <w:jc w:val="both"/>
      </w:pPr>
      <w:r>
        <w:rPr>
          <w:sz w:val="28"/>
        </w:rPr>
        <w:t>1.本项目费用包括检验费、购样费、抽样工作经费、分析报告等抽检工作完成后由采购人按合同金额发票（含购样费、检验费、邮寄费）支付。</w:t>
      </w:r>
    </w:p>
    <w:p>
      <w:pPr>
        <w:pStyle w:val="null3"/>
        <w:spacing w:after="120"/>
        <w:jc w:val="both"/>
      </w:pPr>
      <w:r>
        <w:rPr>
          <w:sz w:val="28"/>
        </w:rPr>
        <w:t>2.原则上按进度支付（若甲方财政部门提前拨付款项或未及时拨付款项到甲方账户，甲乙双方可协商支付时间），完成相关工作后经验收合格并经结算审核后，甲方在收到乙方所有结算资料和发票后15个工作日内，依法付清当期合同款。（如因特殊情况，乙方未能完成当次安排的抽检任务时，则按实际检验情况支付）</w:t>
      </w:r>
    </w:p>
    <w:p>
      <w:pPr>
        <w:pStyle w:val="null3"/>
        <w:spacing w:after="120"/>
        <w:jc w:val="both"/>
      </w:pPr>
      <w:r>
        <w:rPr>
          <w:sz w:val="28"/>
        </w:rPr>
        <w:t>3.成交供应商凭以下有效文件与采购人结算： （1）合同； （2）成交供应商开具的正式发票； （3）验收报告（加盖采购人公章）； （4）成交通知书。</w:t>
      </w:r>
    </w:p>
    <w:p>
      <w:pPr>
        <w:pStyle w:val="null3"/>
        <w:spacing w:after="120"/>
        <w:jc w:val="both"/>
      </w:pPr>
      <w:r>
        <w:rPr>
          <w:sz w:val="28"/>
          <w:b/>
        </w:rPr>
        <w:t>六、</w:t>
      </w:r>
      <w:r>
        <w:rPr>
          <w:sz w:val="28"/>
          <w:b/>
        </w:rPr>
        <w:t>验收要求</w:t>
      </w:r>
    </w:p>
    <w:p>
      <w:pPr>
        <w:pStyle w:val="null3"/>
        <w:spacing w:after="120"/>
        <w:jc w:val="both"/>
      </w:pPr>
      <w:r>
        <w:rPr>
          <w:sz w:val="28"/>
        </w:rPr>
        <w:t>1期：1、验收工作由采购人（或采购人指定的单位）和中标供应商共同进行。2、在验收时，</w:t>
      </w:r>
      <w:r>
        <w:rPr>
          <w:sz w:val="28"/>
        </w:rPr>
        <w:t>响应供应商</w:t>
      </w:r>
      <w:r>
        <w:rPr>
          <w:sz w:val="28"/>
        </w:rPr>
        <w:t>应向采购人提供服务、货物的相关资料，按采购人提出的方式验收。</w:t>
      </w:r>
      <w:r>
        <w:rPr>
          <w:sz w:val="28"/>
        </w:rPr>
        <w:t>3、由采购人对服务的质量和数量及其他进行检验。如发现质量和数量等任何一项与采购要求规定不符，采购人有权拒绝接受。</w:t>
      </w:r>
    </w:p>
    <w:p>
      <w:pPr>
        <w:pStyle w:val="null3"/>
        <w:ind w:firstLine="482"/>
        <w:jc w:val="both"/>
      </w:pPr>
      <w:r>
        <w:rPr>
          <w:sz w:val="28"/>
          <w:b/>
        </w:rPr>
        <w:t>七</w:t>
      </w:r>
      <w:r>
        <w:rPr>
          <w:sz w:val="28"/>
          <w:b/>
        </w:rPr>
        <w:t>、知识产权产权归属</w:t>
      </w:r>
    </w:p>
    <w:p>
      <w:pPr>
        <w:pStyle w:val="null3"/>
        <w:ind w:firstLine="482"/>
        <w:jc w:val="both"/>
      </w:pPr>
      <w:r>
        <w:rPr>
          <w:sz w:val="28"/>
          <w:b/>
        </w:rPr>
        <w:t>八</w:t>
      </w:r>
      <w:r>
        <w:rPr>
          <w:sz w:val="28"/>
          <w:b/>
        </w:rPr>
        <w:t>、保密</w:t>
      </w:r>
    </w:p>
    <w:p>
      <w:pPr>
        <w:pStyle w:val="null3"/>
        <w:ind w:firstLine="482"/>
        <w:jc w:val="both"/>
      </w:pPr>
      <w:r>
        <w:rPr>
          <w:sz w:val="28"/>
          <w:b/>
        </w:rPr>
        <w:t>九</w:t>
      </w:r>
      <w:r>
        <w:rPr>
          <w:sz w:val="28"/>
          <w:b/>
        </w:rPr>
        <w:t>、违约责任与赔偿损失</w:t>
      </w:r>
    </w:p>
    <w:p>
      <w:pPr>
        <w:pStyle w:val="null3"/>
        <w:ind w:firstLine="480"/>
        <w:jc w:val="both"/>
      </w:pPr>
      <w:r>
        <w:rPr>
          <w:sz w:val="28"/>
        </w:rPr>
        <w:t>1) 乙方提供的服务不符合磋商文件、响应文件或本合同规定的，甲方有权拒收，并且乙方须向甲方方支付本合同总价5%的违约金。</w:t>
      </w:r>
    </w:p>
    <w:p>
      <w:pPr>
        <w:pStyle w:val="null3"/>
        <w:ind w:firstLine="480"/>
        <w:jc w:val="both"/>
      </w:pPr>
      <w:r>
        <w:rPr>
          <w:sz w:val="28"/>
        </w:rPr>
        <w:t>2) 乙方未能按本合同规定的交货时间提供服务，从逾期之日起每日按本合同总价3‰的数额向甲方支付违约金；逾期半个月以上的，甲方有权终止合同，由此造成的甲方经济损失由乙方承担。</w:t>
      </w:r>
    </w:p>
    <w:p>
      <w:pPr>
        <w:pStyle w:val="null3"/>
        <w:ind w:firstLine="480"/>
        <w:jc w:val="both"/>
      </w:pPr>
      <w:r>
        <w:rPr>
          <w:sz w:val="28"/>
        </w:rPr>
        <w:t>3) 甲方无正当理由拒收接受服务，到期拒付服务款项的，甲方向乙方偿付本合同总的5%的违约金。甲方人逾期付款，则每日按本合同总价的3‰向乙方偿付违约金。</w:t>
      </w:r>
    </w:p>
    <w:p>
      <w:pPr>
        <w:pStyle w:val="null3"/>
        <w:ind w:firstLine="480"/>
        <w:jc w:val="both"/>
      </w:pPr>
      <w:r>
        <w:rPr>
          <w:sz w:val="28"/>
        </w:rPr>
        <w:t>4) 其它违约责任按《中华人民共和国民法典》处理。</w:t>
      </w:r>
    </w:p>
    <w:p>
      <w:pPr>
        <w:pStyle w:val="null3"/>
        <w:ind w:firstLine="482"/>
        <w:jc w:val="both"/>
      </w:pPr>
      <w:r>
        <w:rPr>
          <w:sz w:val="28"/>
          <w:b/>
        </w:rPr>
        <w:t>十</w:t>
      </w:r>
      <w:r>
        <w:rPr>
          <w:sz w:val="28"/>
          <w:b/>
        </w:rPr>
        <w:t>、争端的解决</w:t>
      </w:r>
    </w:p>
    <w:p>
      <w:pPr>
        <w:pStyle w:val="null3"/>
        <w:ind w:firstLine="480"/>
        <w:jc w:val="both"/>
      </w:pPr>
      <w:r>
        <w:rPr>
          <w:sz w:val="28"/>
        </w:rPr>
        <w:t>1)合同执行过程中发生的任何争议，如双方不能通过友好协商解决，双方均有权向合同履行地的人民法院提起诉讼。守约方因此产生的全部成本（包括但不限于诉讼费、鉴定费、审价费、律师费、保全费、财产保全担保费等费用）概由违约方承担。</w:t>
      </w:r>
    </w:p>
    <w:p>
      <w:pPr>
        <w:pStyle w:val="null3"/>
        <w:ind w:firstLine="482"/>
        <w:jc w:val="both"/>
      </w:pPr>
      <w:r>
        <w:rPr>
          <w:sz w:val="28"/>
          <w:b/>
        </w:rPr>
        <w:t>十一</w:t>
      </w:r>
      <w:r>
        <w:rPr>
          <w:sz w:val="28"/>
          <w:b/>
        </w:rPr>
        <w:t>、不可抗力：</w:t>
      </w:r>
      <w:r>
        <w:rPr>
          <w:sz w:val="28"/>
        </w:rPr>
        <w:t>任何一方由于不可抗力原因不能履行合同时，应在不可抗力事件结束后</w:t>
      </w:r>
      <w:r>
        <w:rPr>
          <w:sz w:val="28"/>
        </w:rPr>
        <w:t>1日内向对方通报，以减轻可能给对方造成的损失，在取得有关机构的不可抗力证明或双方谅解确认后，允许延期履行或修订合同，并根据情况可部分或全部免于承担违约责任。</w:t>
      </w:r>
    </w:p>
    <w:p>
      <w:pPr>
        <w:pStyle w:val="null3"/>
        <w:ind w:firstLine="482"/>
        <w:jc w:val="both"/>
      </w:pPr>
      <w:r>
        <w:rPr>
          <w:sz w:val="28"/>
          <w:b/>
        </w:rPr>
        <w:t>十</w:t>
      </w:r>
      <w:r>
        <w:rPr>
          <w:sz w:val="28"/>
          <w:b/>
        </w:rPr>
        <w:t>二</w:t>
      </w:r>
      <w:r>
        <w:rPr>
          <w:sz w:val="28"/>
          <w:b/>
        </w:rPr>
        <w:t>、税费：</w:t>
      </w:r>
      <w:r>
        <w:rPr>
          <w:sz w:val="28"/>
        </w:rPr>
        <w:t>在中国境内、外发生的与本合同执行有关的一切税费均由乙方负担。</w:t>
      </w:r>
    </w:p>
    <w:p>
      <w:pPr>
        <w:pStyle w:val="null3"/>
        <w:ind w:firstLine="482"/>
        <w:jc w:val="both"/>
      </w:pPr>
      <w:r>
        <w:rPr>
          <w:sz w:val="28"/>
          <w:b/>
        </w:rPr>
        <w:t>十</w:t>
      </w:r>
      <w:r>
        <w:rPr>
          <w:sz w:val="28"/>
          <w:b/>
        </w:rPr>
        <w:t>三</w:t>
      </w:r>
      <w:r>
        <w:rPr>
          <w:sz w:val="28"/>
          <w:b/>
        </w:rPr>
        <w:t>、其它</w:t>
      </w:r>
    </w:p>
    <w:p>
      <w:pPr>
        <w:pStyle w:val="null3"/>
        <w:ind w:firstLine="480"/>
        <w:jc w:val="both"/>
      </w:pPr>
      <w:r>
        <w:rPr>
          <w:sz w:val="28"/>
        </w:rPr>
        <w:t>1) 本合同所有附件、招标文件、投标文件、中标通知书均为合同的有效组成部分，与本合同具有同等法律效力。</w:t>
      </w:r>
    </w:p>
    <w:p>
      <w:pPr>
        <w:pStyle w:val="null3"/>
        <w:ind w:firstLine="480"/>
        <w:jc w:val="both"/>
      </w:pPr>
      <w:r>
        <w:rPr>
          <w:sz w:val="28"/>
        </w:rPr>
        <w:t>2) 在执行本合同的过程中，所有经双方签署确认的文件（包括会议纪要、补充协议、往来信函）即成为本合同的有效组成部分。</w:t>
      </w:r>
    </w:p>
    <w:p>
      <w:pPr>
        <w:pStyle w:val="null3"/>
        <w:ind w:firstLine="480"/>
        <w:jc w:val="both"/>
      </w:pPr>
      <w:r>
        <w:rPr>
          <w:sz w:val="28"/>
        </w:rPr>
        <w:t>3) 如一方地址、电话、传真号码有变更，应在变更当日内书面通知对方，否则，应承担相应责任。</w:t>
      </w:r>
    </w:p>
    <w:p>
      <w:pPr>
        <w:pStyle w:val="null3"/>
        <w:ind w:firstLine="480"/>
        <w:jc w:val="both"/>
      </w:pPr>
      <w:r>
        <w:rPr>
          <w:sz w:val="28"/>
        </w:rPr>
        <w:t>4) 除甲方事先书面同意外，乙方不得部分或全部转让其应履行的合同项下的义务。</w:t>
      </w:r>
    </w:p>
    <w:p>
      <w:pPr>
        <w:pStyle w:val="null3"/>
        <w:ind w:firstLine="482"/>
        <w:jc w:val="both"/>
      </w:pPr>
      <w:r>
        <w:rPr>
          <w:sz w:val="28"/>
          <w:b/>
        </w:rPr>
        <w:t>十</w:t>
      </w:r>
      <w:r>
        <w:rPr>
          <w:sz w:val="28"/>
          <w:b/>
        </w:rPr>
        <w:t>四</w:t>
      </w:r>
      <w:r>
        <w:rPr>
          <w:sz w:val="28"/>
          <w:b/>
        </w:rPr>
        <w:t>、合同生效：</w:t>
      </w:r>
    </w:p>
    <w:p>
      <w:pPr>
        <w:pStyle w:val="null3"/>
        <w:ind w:firstLine="480"/>
        <w:jc w:val="both"/>
      </w:pPr>
      <w:r>
        <w:rPr>
          <w:sz w:val="28"/>
        </w:rPr>
        <w:t>1）本合同在甲乙双方法人代表或其授权代表签字盖章后生效。</w:t>
      </w:r>
    </w:p>
    <w:p>
      <w:pPr>
        <w:pStyle w:val="null3"/>
        <w:ind w:firstLine="480"/>
        <w:jc w:val="both"/>
      </w:pPr>
      <w:r>
        <w:rPr>
          <w:sz w:val="28"/>
        </w:rPr>
        <w:t>2）合同一式份。</w:t>
      </w:r>
    </w:p>
    <w:p>
      <w:pPr>
        <w:pStyle w:val="null3"/>
        <w:ind w:firstLine="482"/>
        <w:jc w:val="both"/>
      </w:pPr>
      <w:r>
        <w:rPr>
          <w:sz w:val="28"/>
          <w:b/>
        </w:rPr>
        <w:t>甲方（盖章）：</w:t>
      </w:r>
      <w:r>
        <w:rPr>
          <w:sz w:val="28"/>
          <w:b/>
        </w:rPr>
        <w:t xml:space="preserve">                         </w:t>
      </w:r>
      <w:r>
        <w:rPr>
          <w:sz w:val="28"/>
          <w:b/>
        </w:rPr>
        <w:t>乙方（盖章）：</w:t>
      </w:r>
    </w:p>
    <w:p>
      <w:pPr>
        <w:pStyle w:val="null3"/>
        <w:ind w:firstLine="482"/>
        <w:jc w:val="both"/>
      </w:pPr>
      <w:r>
        <w:rPr>
          <w:sz w:val="28"/>
          <w:b/>
        </w:rPr>
        <w:t>代表：</w:t>
      </w:r>
      <w:r>
        <w:rPr>
          <w:sz w:val="28"/>
          <w:b/>
        </w:rPr>
        <w:t xml:space="preserve">                                      </w:t>
      </w:r>
      <w:r>
        <w:rPr>
          <w:sz w:val="28"/>
          <w:b/>
        </w:rPr>
        <w:t>代表：</w:t>
      </w:r>
    </w:p>
    <w:p>
      <w:pPr>
        <w:pStyle w:val="null3"/>
        <w:ind w:firstLine="480"/>
        <w:jc w:val="both"/>
      </w:pPr>
      <w:r>
        <w:rPr>
          <w:sz w:val="28"/>
        </w:rPr>
        <w:t>签定地点：</w:t>
      </w:r>
    </w:p>
    <w:p>
      <w:pPr>
        <w:pStyle w:val="null3"/>
        <w:ind w:firstLine="480"/>
        <w:jc w:val="both"/>
      </w:pPr>
      <w:r>
        <w:rPr>
          <w:sz w:val="28"/>
        </w:rPr>
        <w:t>签定日期：</w:t>
      </w:r>
      <w:r>
        <w:rPr>
          <w:sz w:val="28"/>
        </w:rPr>
        <w:t xml:space="preserve">  </w:t>
      </w:r>
      <w:r>
        <w:rPr>
          <w:sz w:val="28"/>
        </w:rPr>
        <w:t>年</w:t>
      </w:r>
      <w:r>
        <w:rPr>
          <w:sz w:val="28"/>
        </w:rPr>
        <w:t xml:space="preserve">   </w:t>
      </w:r>
      <w:r>
        <w:rPr>
          <w:sz w:val="28"/>
        </w:rPr>
        <w:t>月</w:t>
      </w:r>
      <w:r>
        <w:rPr>
          <w:sz w:val="28"/>
        </w:rPr>
        <w:t xml:space="preserve">   </w:t>
      </w:r>
      <w:r>
        <w:rPr>
          <w:sz w:val="28"/>
        </w:rPr>
        <w:t>日</w:t>
      </w:r>
      <w:r>
        <w:rPr>
          <w:sz w:val="28"/>
        </w:rPr>
        <w:t xml:space="preserve">           </w:t>
      </w:r>
      <w:r>
        <w:rPr>
          <w:sz w:val="28"/>
        </w:rPr>
        <w:t>签定日期：</w:t>
      </w:r>
      <w:r>
        <w:rPr>
          <w:sz w:val="28"/>
        </w:rPr>
        <w:t xml:space="preserve">    </w:t>
      </w:r>
      <w:r>
        <w:rPr>
          <w:sz w:val="28"/>
        </w:rPr>
        <w:t>年</w:t>
      </w:r>
      <w:r>
        <w:rPr>
          <w:sz w:val="28"/>
        </w:rPr>
        <w:t xml:space="preserve">   </w:t>
      </w:r>
      <w:r>
        <w:rPr>
          <w:sz w:val="28"/>
        </w:rPr>
        <w:t>月</w:t>
      </w:r>
      <w:r>
        <w:rPr>
          <w:sz w:val="28"/>
        </w:rPr>
        <w:t xml:space="preserve">   </w:t>
      </w:r>
      <w:r>
        <w:rPr>
          <w:sz w:val="28"/>
        </w:rPr>
        <w:t>日</w:t>
      </w:r>
      <w:r>
        <w:rPr>
          <w:sz w:val="28"/>
        </w:rPr>
        <w:t xml:space="preserve">  </w:t>
      </w:r>
    </w:p>
    <w:p>
      <w:pPr>
        <w:pStyle w:val="null3"/>
        <w:ind w:firstLine="482"/>
        <w:jc w:val="both"/>
      </w:pPr>
      <w:r>
        <w:rPr>
          <w:sz w:val="21"/>
        </w:rPr>
        <w:t xml:space="preserve">                                                              </w:t>
      </w:r>
      <w:r>
        <w:rPr>
          <w:sz w:val="28"/>
        </w:rPr>
        <w:t>开户名称：</w:t>
      </w:r>
    </w:p>
    <w:p>
      <w:pPr>
        <w:pStyle w:val="null3"/>
        <w:ind w:firstLine="482"/>
        <w:jc w:val="both"/>
      </w:pPr>
      <w:r>
        <w:rPr>
          <w:sz w:val="21"/>
        </w:rPr>
        <w:t xml:space="preserve">                                                               </w:t>
      </w:r>
      <w:r>
        <w:rPr>
          <w:sz w:val="28"/>
        </w:rPr>
        <w:t>银行帐号：</w:t>
      </w:r>
    </w:p>
    <w:p>
      <w:pPr>
        <w:pStyle w:val="null3"/>
        <w:ind w:firstLine="482"/>
        <w:jc w:val="both"/>
      </w:pPr>
      <w:r>
        <w:rPr>
          <w:sz w:val="28"/>
        </w:rPr>
        <w:t xml:space="preserve">                                               开</w:t>
      </w:r>
      <w:r>
        <w:rPr>
          <w:sz w:val="28"/>
        </w:rPr>
        <w:t>户</w:t>
      </w:r>
      <w:r>
        <w:rPr>
          <w:sz w:val="28"/>
        </w:rPr>
        <w:t>行：</w:t>
      </w:r>
    </w:p>
    <w:p>
      <w:pPr>
        <w:pStyle w:val="null3"/>
        <w:ind w:firstLine="482"/>
        <w:jc w:val="both"/>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441623-2026-00649</w:t>
      </w:r>
    </w:p>
    <w:p>
      <w:pPr>
        <w:pStyle w:val="null3"/>
        <w:jc w:val="center"/>
        <w:outlineLvl w:val="3"/>
      </w:pPr>
      <w:r>
        <w:rPr>
          <w:sz w:val="24"/>
          <w:b/>
        </w:rPr>
        <w:t>采购项目编号：</w:t>
      </w:r>
      <w:r>
        <w:rPr>
          <w:sz w:val="24"/>
          <w:b/>
        </w:rPr>
        <w:t>HYXQ20260402</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五、关于符合本国产品标准的声明函等有关证明文件（如适用）</w:t>
      </w:r>
    </w:p>
    <w:p>
      <w:pPr>
        <w:pStyle w:val="null3"/>
        <w:ind w:firstLine="480"/>
      </w:pPr>
      <w:r>
        <w:rPr/>
        <w:t>六、法定代表人证明书</w:t>
      </w:r>
    </w:p>
    <w:p>
      <w:pPr>
        <w:pStyle w:val="null3"/>
        <w:ind w:firstLine="480"/>
      </w:pPr>
      <w:r>
        <w:rPr/>
        <w:t>七、法定代表人授权书</w:t>
      </w:r>
    </w:p>
    <w:p>
      <w:pPr>
        <w:pStyle w:val="null3"/>
        <w:ind w:firstLine="480"/>
      </w:pPr>
      <w:r>
        <w:rPr/>
        <w:t>八、响应保证金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十五、联合体共同响应协议书</w:t>
      </w:r>
    </w:p>
    <w:p>
      <w:pPr>
        <w:pStyle w:val="null3"/>
        <w:ind w:firstLine="480"/>
      </w:pPr>
      <w:r>
        <w:rPr/>
        <w:t>十六、供应商业绩情况表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二十五、附件</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河源市新启项目咨询管理有限公司</w:t>
      </w:r>
    </w:p>
    <w:p>
      <w:pPr>
        <w:pStyle w:val="null3"/>
        <w:ind w:firstLine="480"/>
      </w:pPr>
      <w:r>
        <w:rPr/>
        <w:t xml:space="preserve"> 你方组织的</w:t>
      </w:r>
      <w:r>
        <w:rPr>
          <w:u w:val="single"/>
        </w:rPr>
        <w:t>“</w:t>
      </w:r>
      <w:r>
        <w:rPr>
          <w:u w:val="single"/>
        </w:rPr>
        <w:t>2026年连平县食品抽检工作经费(二次)</w:t>
      </w:r>
      <w:r>
        <w:rPr>
          <w:u w:val="single"/>
        </w:rPr>
        <w:t>”</w:t>
      </w:r>
      <w:r>
        <w:rPr/>
        <w:t>项目的竞争性磋商[采购项目编号为：</w:t>
      </w:r>
      <w:r>
        <w:rPr>
          <w:u w:val="single"/>
        </w:rPr>
        <w:t>HYXQ20260402</w:t>
      </w:r>
      <w:r>
        <w:rPr/>
        <w:t>]，我方愿参与响应。</w:t>
      </w:r>
    </w:p>
    <w:p>
      <w:pPr>
        <w:pStyle w:val="null3"/>
        <w:ind w:firstLine="480"/>
      </w:pPr>
      <w:r>
        <w:rPr/>
        <w:t>我方确认收到贵方提供的</w:t>
      </w:r>
      <w:r>
        <w:rPr>
          <w:u w:val="single"/>
        </w:rPr>
        <w:t>“</w:t>
      </w:r>
      <w:r>
        <w:rPr>
          <w:u w:val="single"/>
        </w:rPr>
        <w:t>2026年连平县食品抽检工作经费(二次)</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（一）按磋商文件提供全部标的的磋商总价详见《首轮报价表》。</w:t>
      </w:r>
    </w:p>
    <w:p>
      <w:pPr>
        <w:pStyle w:val="null3"/>
        <w:ind w:firstLine="480"/>
      </w:pPr>
      <w:r>
        <w:rPr/>
        <w:t xml:space="preserve"> （二）本响应文件的有效期为</w:t>
      </w:r>
      <w:r>
        <w:rPr/>
        <w:t>从提交投标（响应）文件的截止之日起90日历天</w:t>
      </w:r>
      <w:r>
        <w:rPr/>
        <w:t>。在此提交的资格证明文件均至响应截止日有效，如有在响应有效期内失效的，我方承诺在成交后补齐一切手续，保证所有资格证明文件直至采购合同终止日有效。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则贵方将不予退还磋商保证金。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（十）我方承诺遵守《中华人民共和国民法典》有关规定和《中华人民共和国妇女权益保障法》中关于“劳动和社会保障权益”的有关要求。</w:t>
      </w:r>
    </w:p>
    <w:p>
      <w:pPr>
        <w:pStyle w:val="null3"/>
        <w:ind w:firstLine="480"/>
      </w:pPr>
      <w:r>
        <w:rPr/>
        <w:t>（十一）我方与其他供应商不存在单位负责人为同一人或者存在直接控股、管理关系。</w:t>
      </w:r>
    </w:p>
    <w:p>
      <w:pPr>
        <w:pStyle w:val="null3"/>
        <w:ind w:firstLine="480"/>
      </w:pPr>
      <w:r>
        <w:rPr/>
        <w:t>（十二）供应商未存在《政府采购法实施条例》第十八条第二款规定的情形：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（十三）我方具备《中华人民共和国政府采购法》第二十二条规定的条件，声明如下：</w:t>
      </w:r>
    </w:p>
    <w:p>
      <w:pPr>
        <w:pStyle w:val="null3"/>
        <w:ind w:firstLine="480"/>
      </w:pPr>
      <w:r>
        <w:rPr/>
        <w:t xml:space="preserve"> （1）我方参加本项目政府采购活动前3年内在经营活动中没有以下违法记录：因违法经营受到刑事处罚或者责令停产停业、吊销许可证或者执照、较大数额罚款等行政处罚。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（十五）我方对在本函及响应文件中所作的所有承诺承担法律责任。</w:t>
      </w:r>
    </w:p>
    <w:p>
      <w:pPr>
        <w:pStyle w:val="null3"/>
        <w:ind w:firstLine="480"/>
      </w:pPr>
      <w:r>
        <w:rPr/>
        <w:t>（十六）以上内容如有虚假或与事实不符的，磋商小组可将我方做无效响应处理，我方愿意承担相应的法律责任。</w:t>
      </w:r>
    </w:p>
    <w:p>
      <w:pPr>
        <w:pStyle w:val="null3"/>
        <w:ind w:firstLine="480"/>
      </w:pPr>
      <w:r>
        <w:rPr/>
        <w:t>（十七）所有与本磋商有关的函件请发往下列地址：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河源市新启项目咨询管理有限公司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2026年连平县食品抽检工作经费(二次)</w:t>
      </w:r>
      <w:r>
        <w:rPr/>
        <w:t>”项目采购[采购项目编号为</w:t>
      </w:r>
      <w:r>
        <w:rPr/>
        <w:t>HYXQ20260402</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格式八：</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连平县市场监督管理局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格式二十一：</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河源市新启项目咨询管理有限公司</w:t>
      </w:r>
    </w:p>
    <w:p>
      <w:pPr>
        <w:pStyle w:val="null3"/>
        <w:ind w:firstLine="480"/>
      </w:pPr>
      <w:r>
        <w:rPr/>
        <w:t>我单位参加贵公司组织的</w:t>
      </w:r>
      <w:r>
        <w:rPr/>
        <w:t>2026年连平县食品抽检工作经费(二次)</w:t>
      </w:r>
      <w:r>
        <w:rPr/>
        <w:t>（采购项目编号：</w:t>
      </w:r>
      <w:r>
        <w:rPr/>
        <w:t>HYXQ20260402</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河源市新启项目咨询管理有限公司</w:t>
      </w:r>
    </w:p>
    <w:p>
      <w:pPr>
        <w:pStyle w:val="null3"/>
        <w:ind w:firstLine="480"/>
      </w:pPr>
      <w:r>
        <w:rPr/>
        <w:t>我单位已登记并准备参与“</w:t>
      </w:r>
      <w:r>
        <w:rPr/>
        <w:t>2026年连平县食品抽检工作经费(二次)</w:t>
      </w:r>
      <w:r>
        <w:rPr/>
        <w:t>”项目（采购项目编号：</w:t>
      </w:r>
      <w:r>
        <w:rPr/>
        <w:t>HYXQ20260402</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