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441623-2025-01062</w:t>
      </w:r>
    </w:p>
    <w:p>
      <w:pPr>
        <w:pStyle w:val="null3"/>
        <w:jc w:val="center"/>
        <w:outlineLvl w:val="3"/>
      </w:pPr>
      <w:r>
        <w:rPr>
          <w:sz w:val="24"/>
          <w:b/>
        </w:rPr>
        <w:t>采购项目编号：</w:t>
      </w:r>
      <w:r>
        <w:rPr>
          <w:sz w:val="24"/>
          <w:b/>
        </w:rPr>
        <w:t>HYXQ20250701</w:t>
      </w:r>
    </w:p>
    <w:p>
      <w:pPr>
        <w:pStyle w:val="null3"/>
        <w:jc w:val="center"/>
        <w:outlineLvl w:val="3"/>
      </w:pPr>
      <w:r>
        <w:rPr>
          <w:sz w:val="24"/>
          <w:b/>
        </w:rPr>
        <w:t>项目名称：</w:t>
      </w:r>
      <w:r>
        <w:rPr>
          <w:sz w:val="24"/>
          <w:b/>
        </w:rPr>
        <w:t>连平县陂头镇生态旅游示范区文化旅游基础设施建设项目检验检测费</w:t>
      </w:r>
    </w:p>
    <w:p>
      <w:pPr>
        <w:pStyle w:val="null3"/>
        <w:jc w:val="center"/>
        <w:outlineLvl w:val="3"/>
      </w:pPr>
      <w:r>
        <w:rPr>
          <w:sz w:val="24"/>
          <w:b/>
        </w:rPr>
        <w:t>采购人：</w:t>
      </w:r>
      <w:r>
        <w:rPr>
          <w:sz w:val="24"/>
          <w:b/>
        </w:rPr>
        <w:t>连平县文化广电旅游体育局</w:t>
      </w:r>
    </w:p>
    <w:p>
      <w:pPr>
        <w:pStyle w:val="null3"/>
        <w:jc w:val="center"/>
        <w:outlineLvl w:val="3"/>
      </w:pPr>
      <w:r>
        <w:rPr>
          <w:sz w:val="24"/>
          <w:b/>
        </w:rPr>
        <w:t>采购代理机构：</w:t>
      </w:r>
      <w:r>
        <w:rPr>
          <w:sz w:val="24"/>
          <w:b/>
        </w:rPr>
        <w:t>河源市新启项目咨询管理有限公司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河源市新启项目咨询管理有限公司</w:t>
      </w:r>
      <w:r>
        <w:rPr/>
        <w:t>受</w:t>
      </w:r>
      <w:r>
        <w:rPr/>
        <w:t>连平县文化广电旅游体育局</w:t>
      </w:r>
      <w:r>
        <w:rPr/>
        <w:t>的委托，采用</w:t>
      </w:r>
      <w:r>
        <w:rPr/>
        <w:t>竞争性磋商</w:t>
      </w:r>
      <w:r>
        <w:rPr/>
        <w:t>方式组织采购</w:t>
      </w:r>
      <w:r>
        <w:rPr/>
        <w:t>连平县陂头镇生态旅游示范区文化旅游基础设施建设项目检验检测费</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连平县陂头镇生态旅游示范区文化旅游基础设施建设项目检验检测费</w:t>
      </w:r>
    </w:p>
    <w:p>
      <w:pPr>
        <w:pStyle w:val="null3"/>
        <w:ind w:firstLine="480"/>
      </w:pPr>
      <w:r>
        <w:rPr/>
        <w:t>采购计划编号：</w:t>
      </w:r>
      <w:r>
        <w:rPr/>
        <w:t>441623-2025-01062</w:t>
      </w:r>
    </w:p>
    <w:p>
      <w:pPr>
        <w:pStyle w:val="null3"/>
        <w:ind w:firstLine="480"/>
      </w:pPr>
      <w:r>
        <w:rPr/>
        <w:t>采购项目编号：</w:t>
      </w:r>
      <w:r>
        <w:rPr/>
        <w:t>HYXQ20250701</w:t>
      </w:r>
    </w:p>
    <w:p>
      <w:pPr>
        <w:pStyle w:val="null3"/>
        <w:ind w:firstLine="480"/>
      </w:pPr>
      <w:r>
        <w:rPr/>
        <w:t>采购方式：</w:t>
      </w:r>
      <w:r>
        <w:rPr/>
        <w:t>竞争性磋商</w:t>
      </w:r>
    </w:p>
    <w:p>
      <w:pPr>
        <w:pStyle w:val="null3"/>
        <w:ind w:firstLine="480"/>
      </w:pPr>
      <w:r>
        <w:rPr/>
        <w:t>预算金额：</w:t>
      </w:r>
      <w:r>
        <w:rPr/>
        <w:t>1,651,698.40</w:t>
      </w:r>
      <w:r>
        <w:rPr/>
        <w:t>元</w:t>
      </w:r>
    </w:p>
    <w:p>
      <w:pPr>
        <w:pStyle w:val="null3"/>
        <w:outlineLvl w:val="3"/>
      </w:pPr>
      <w:r>
        <w:rPr>
          <w:sz w:val="24"/>
          <w:b/>
        </w:rPr>
        <w:t>2.项目内容及需求情况（采购项目技术规格、参数及要求）</w:t>
      </w:r>
    </w:p>
    <w:p>
      <w:pPr>
        <w:pStyle w:val="null3"/>
      </w:pPr>
      <w:r>
        <w:rPr/>
        <w:t>采购包1(连平县陂头镇生态旅游示范区文化旅游基础设施建设项目检验检测费):</w:t>
      </w:r>
    </w:p>
    <w:p>
      <w:pPr>
        <w:pStyle w:val="null3"/>
      </w:pPr>
      <w:r>
        <w:rPr/>
        <w:t>采购包预算金额：1,651,698.40元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其他专业技术服务</w:t>
            </w:r>
          </w:p>
        </w:tc>
        <w:tc>
          <w:tcPr>
            <w:tcW w:type="dxa" w:w="2052"/>
          </w:tcPr>
          <w:p>
            <w:pPr>
              <w:pStyle w:val="null3"/>
            </w:pPr>
            <w:r>
              <w:rPr/>
              <w:t>连平县陂头镇生态旅游示范区文化旅游基础设施建设项目检验检测费</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1,651,698.40</w:t>
            </w:r>
          </w:p>
        </w:tc>
        <w:tc>
          <w:tcPr>
            <w:tcW w:type="dxa" w:w="977"/>
          </w:tcPr>
          <w:p>
            <w:pPr>
              <w:pStyle w:val="null3"/>
            </w:pPr>
            <w:r>
              <w:rPr/>
              <w:t>否</w:t>
            </w:r>
          </w:p>
        </w:tc>
      </w:tr>
    </w:tbl>
    <w:p>
      <w:pPr>
        <w:pStyle w:val="null3"/>
      </w:pPr>
      <w:r>
        <w:rPr/>
        <w:t>本采购包接受联合体响应</w:t>
      </w:r>
    </w:p>
    <w:p>
      <w:pPr>
        <w:pStyle w:val="null3"/>
      </w:pPr>
      <w:r>
        <w:rPr/>
        <w:t>合同分包：不允许合同分包</w:t>
      </w:r>
    </w:p>
    <w:p>
      <w:pPr>
        <w:pStyle w:val="null3"/>
      </w:pPr>
      <w:r>
        <w:rPr/>
        <w:t>合同履行期限：合同生效之日起至本项目检测任务完成为止。具体开始工作的时间以书面通知为准，若工程施工工期滞后则本项目检测服务期顺延到所有内容进行完成为止</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副本扫描件。分支机构投标的，须提供总公司和分公司营业执照副本扫描件，总公司出具给分支机构的授权书</w:t>
      </w:r>
    </w:p>
    <w:p>
      <w:pPr>
        <w:pStyle w:val="null3"/>
      </w:pPr>
      <w:r>
        <w:rPr/>
        <w:t>2）有依法缴纳税收和社会保障资金的良好记录：提供承诺函（承诺函格式详见公告附件）</w:t>
      </w:r>
    </w:p>
    <w:p>
      <w:pPr>
        <w:pStyle w:val="null3"/>
      </w:pPr>
      <w:r>
        <w:rPr/>
        <w:t>3）具有良好的商业信誉和健全的财务会计制度：提供承诺函（承诺函格式详见公告附件）</w:t>
      </w:r>
    </w:p>
    <w:p>
      <w:pPr>
        <w:pStyle w:val="null3"/>
      </w:pPr>
      <w:r>
        <w:rPr/>
        <w:t>4）履行合同所必需的设备和专业技术能力：提供承诺函（承诺函格式详见公告附件）</w:t>
      </w:r>
    </w:p>
    <w:p>
      <w:pPr>
        <w:pStyle w:val="null3"/>
      </w:pPr>
      <w:r>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承诺函（承诺函格式详见公告附件）】</w:t>
      </w:r>
    </w:p>
    <w:p>
      <w:pPr>
        <w:pStyle w:val="null3"/>
        <w:outlineLvl w:val="3"/>
      </w:pPr>
      <w:r>
        <w:rPr>
          <w:sz w:val="24"/>
          <w:b/>
        </w:rPr>
        <w:t>2.落实政府采购政策需满足的资格要求：</w:t>
      </w:r>
    </w:p>
    <w:p>
      <w:pPr>
        <w:pStyle w:val="null3"/>
        <w:jc w:val="left"/>
      </w:pPr>
      <w:r>
        <w:rPr/>
        <w:t>采购包1（连平县陂头镇生态旅游示范区文化旅游基础设施建设项目检验检测费）：</w:t>
      </w:r>
      <w:r>
        <w:rPr/>
        <w:t>本采购项目预算专门面向中小企业采购；【提供全部服务的供应商的《中小企业声明函》或由监狱管理局、戒毒管理局(含新疆生产建设兵团)出具的供应商属于监狱企业的证明文件或《残疾人福利性单位声明函》】</w:t>
      </w:r>
    </w:p>
    <w:p>
      <w:pPr>
        <w:pStyle w:val="null3"/>
        <w:outlineLvl w:val="3"/>
      </w:pPr>
      <w:r>
        <w:rPr>
          <w:sz w:val="24"/>
          <w:b/>
        </w:rPr>
        <w:t>3.本项目特定的资格要求：</w:t>
      </w:r>
    </w:p>
    <w:p>
      <w:pPr>
        <w:pStyle w:val="null3"/>
      </w:pPr>
      <w:r>
        <w:rPr/>
        <w:t>采购包1（连平县陂头镇生态旅游示范区文化旅游基础设施建设项目检验检测费）：</w:t>
      </w:r>
    </w:p>
    <w:p>
      <w:pPr>
        <w:pStyle w:val="null3"/>
      </w:pPr>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承诺函（承诺函格式详见公告附件）】</w:t>
      </w:r>
    </w:p>
    <w:p>
      <w:pPr>
        <w:pStyle w:val="null3"/>
      </w:pPr>
      <w:r>
        <w:rPr/>
        <w:t>2)法律、行政法规规定的其他条件：①单位负责人为同一人或者存在直接控股、管理关系的不同供应商，不得同时参加本采购项目（或采购包）投标（响应）。②为本项目提供整体设计、规范编制或者项目管理、监理等服务的供应商，不得再参与本项目投标（响应）；【提供声明函】</w:t>
      </w:r>
    </w:p>
    <w:p>
      <w:pPr>
        <w:pStyle w:val="null3"/>
      </w:pPr>
      <w:r>
        <w:rPr/>
        <w:t>3)具有市场监督管理部门或国家认证认可监督管理委员会或省级(或以上)质量技术监督部门颁发的 CMA计量认证资质认定证书；（如为联合体响应的，联合体成员均需同时满足）</w:t>
      </w:r>
    </w:p>
    <w:p>
      <w:pPr>
        <w:pStyle w:val="null3"/>
      </w:pPr>
      <w:r>
        <w:rPr/>
        <w:t>4)具有建设行政主管部门颁发的建设工程质量检测机构资质证书且证书在有效期内，检测范围须包含：地基基础工程检测和见证取样检测；或根据《住房和城乡建设部关于印发《建设工程质量检测机构资质标准》的通知》（建质规〔2023〕1 号）具有建设行政主管部门颁发的建设工程质量检测机构综合资质证书或专项资质证书且证书在有效期内，专项资质证书须包含：地基基础，建筑材料及构配件，市政工程材料；（如为联合体响应的，联合体成员同时满足或分别满足以上检测范围要求的检测内容）</w:t>
      </w:r>
    </w:p>
    <w:p>
      <w:pPr>
        <w:pStyle w:val="null3"/>
      </w:pPr>
      <w:r>
        <w:rPr/>
        <w:t>5)具备符合《河源市住房和城乡建设关于进一步加强河源市房屋建筑和市政基础设施工程质量检测监管工作的通知》(河住建通〔2022〕3号)要求，且在河源市住房和城乡建设局网站公布名单范围的检测企业（提供已入名单并公示结果为有效截图）；（如为联合体响应的，联合体成员均需同时满足）</w:t>
      </w:r>
    </w:p>
    <w:p>
      <w:pPr>
        <w:pStyle w:val="null3"/>
      </w:pPr>
      <w:r>
        <w:rPr/>
        <w:t>6)本项目接受联合体响应。①只接受最多2家单位组成的联合体参与响应，且联合体响应的签订联合体响应协议，联合体协议应明确约定各方拟承担的工作和责任。②如为联合体响应的，供应商资格条件除特别要求外的其他要求联合体双方均需满足。③联合体各方签订联合体协议书后，不得再以自己名义单独投标响应或加入其他联合体在同一标段中进行投标响应，如有违反，其投标响应和与此有关的联合体的投标响应将被拒绝</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连平县文化广电旅游体育局</w:t>
      </w:r>
    </w:p>
    <w:p>
      <w:pPr>
        <w:pStyle w:val="null3"/>
        <w:ind w:firstLine="480"/>
      </w:pPr>
      <w:r>
        <w:rPr/>
        <w:t>地址：</w:t>
      </w:r>
      <w:r>
        <w:rPr/>
        <w:t>连平县元善镇广场街1号</w:t>
      </w:r>
    </w:p>
    <w:p>
      <w:pPr>
        <w:pStyle w:val="null3"/>
        <w:ind w:firstLine="480"/>
      </w:pPr>
      <w:r>
        <w:rPr/>
        <w:t>联系方式：</w:t>
      </w:r>
      <w:r>
        <w:rPr/>
        <w:t>13676208968</w:t>
      </w:r>
    </w:p>
    <w:p>
      <w:pPr>
        <w:pStyle w:val="null3"/>
        <w:outlineLvl w:val="3"/>
      </w:pPr>
      <w:r>
        <w:rPr>
          <w:sz w:val="24"/>
          <w:b/>
        </w:rPr>
        <w:t>2.采购代理机构信息</w:t>
      </w:r>
    </w:p>
    <w:p>
      <w:pPr>
        <w:pStyle w:val="null3"/>
        <w:ind w:firstLine="480"/>
      </w:pPr>
      <w:r>
        <w:rPr/>
        <w:t>名称：</w:t>
      </w:r>
      <w:r>
        <w:rPr/>
        <w:t>河源市新启项目咨询管理有限公司</w:t>
      </w:r>
    </w:p>
    <w:p>
      <w:pPr>
        <w:pStyle w:val="null3"/>
        <w:ind w:firstLine="480"/>
      </w:pPr>
      <w:r>
        <w:rPr/>
        <w:t xml:space="preserve"> 地址：</w:t>
      </w:r>
      <w:r>
        <w:rPr/>
        <w:t>广东省河源市连平县河源市连平县元善镇肖国排新村苑第一、二层</w:t>
      </w:r>
    </w:p>
    <w:p>
      <w:pPr>
        <w:pStyle w:val="null3"/>
        <w:ind w:firstLine="480"/>
      </w:pPr>
      <w:r>
        <w:rPr/>
        <w:t xml:space="preserve"> 联系方式：</w:t>
      </w:r>
      <w:r>
        <w:rPr/>
        <w:t>0762-6743898</w:t>
      </w:r>
    </w:p>
    <w:p>
      <w:pPr>
        <w:pStyle w:val="null3"/>
        <w:outlineLvl w:val="3"/>
      </w:pPr>
      <w:r>
        <w:rPr>
          <w:sz w:val="24"/>
          <w:b/>
        </w:rPr>
        <w:t xml:space="preserve"> 3.项目联系方式</w:t>
      </w:r>
    </w:p>
    <w:p>
      <w:pPr>
        <w:pStyle w:val="null3"/>
        <w:ind w:firstLine="480"/>
      </w:pPr>
      <w:r>
        <w:rPr/>
        <w:t xml:space="preserve"> 项目联系人：</w:t>
      </w:r>
      <w:r>
        <w:rPr/>
        <w:t>王先生</w:t>
      </w:r>
    </w:p>
    <w:p>
      <w:pPr>
        <w:pStyle w:val="null3"/>
        <w:ind w:firstLine="480"/>
      </w:pPr>
      <w:r>
        <w:rPr/>
        <w:t xml:space="preserve"> 电话：</w:t>
      </w:r>
      <w:r>
        <w:rPr/>
        <w:t>0762-6743898</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河源市新启项目咨询管理有限公司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4"/>
        </w:rPr>
        <w:t>本</w:t>
      </w:r>
      <w:r>
        <w:rPr>
          <w:sz w:val="24"/>
        </w:rPr>
        <w:t>项目位于</w:t>
      </w:r>
      <w:r>
        <w:rPr>
          <w:sz w:val="24"/>
          <w:color w:val="000000"/>
        </w:rPr>
        <w:t>广东省河源市。本项目地基基础采用桩基础和</w:t>
      </w:r>
      <w:r>
        <w:rPr>
          <w:sz w:val="24"/>
        </w:rPr>
        <w:t>天然基础，旅游特产品科普基地</w:t>
      </w:r>
      <w:r>
        <w:rPr>
          <w:sz w:val="24"/>
        </w:rPr>
        <w:t>-仓库为桩基础，采用PHC管桩，AB型，桩径400mm，单桩承载力特征值为1000kN；天然基础采用独立基础、条形基础和筏板基础，陂头全域旅游游客接待中心2#楼采用条形基础，持力层为卵石层，地基承载力特征值为320kPa；旅游配套驿站采用筏板基础，持力层为中砂层，地基承载力特征值为170kPa；陂头全域旅游游客接待中心1#楼、游客接待中心、旅游服务设施配套用房和旅游特产品科普基地综合楼采用独立基础，持力层分别为卵石、粉质黏土和强风化花岗岩，地基承载力特征值320kPa、300kPa、150kPa和500kPa。游客接待中心和旅游特产品科普基地综合楼地基基础设计等级为乙级，其余单位工程地基基础设计等级为丙级</w:t>
      </w:r>
    </w:p>
    <w:p>
      <w:pPr>
        <w:pStyle w:val="null3"/>
      </w:pPr>
      <w:r>
        <w:rPr/>
        <w:t>采购包1（连平县陂头镇生态旅游示范区文化旅游基础设施建设项目检验检测费）</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合同生效之日起至本项目检测任务完成为止。具体开始工作的时间以书面通知为准，若工程施工工期滞后则本项目检测服务期顺延到所有内容进行完成为止</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1期：支付比例30%,合同签订后15个工作日内，采购人向成交人支付合同总金额的30%的预付款</w:t>
            </w:r>
          </w:p>
          <w:p>
            <w:pPr>
              <w:pStyle w:val="null3"/>
            </w:pPr>
            <w:r>
              <w:rPr/>
              <w:t>2期：支付比例70%,根据工程进度按月申请已完成的检测工作并出具检测报告的检测费用，以报告签收单为签证证明材料。 成交供应商凭以下有效文件与采购人结算： 1）合同； 2）成交供应商开具的正式发票； 3）成交通知书。 如采购人使用的是财政资金，采购人在前款规定的付款时间为向政府采购支付部门提出办理财政支付申请手续的时间（不含政府财政支付部门审核的时间），在规定时间内提出视为采购人已完成支付，采购人不对财政支付时间作出承诺</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1期：（1）完成全部合同约定的服务内容且采购人收到验收申请后7个工作日内进行验收。 （2）采购人收到成交供应商项目验收建议之日起7日内按照合同的约定对履约情况进行验收，对每一项技术、服务、安全标准的履约情况进行确认</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（1）供应商投标报价以人民币为单位。 （2）报价应包含完成本项目所有可能发生的费用。采购人将不予支付除响应文件及承包合同约定的由供应商承担的风险因素之外的任何补偿</w:t>
            </w:r>
          </w:p>
        </w:tc>
      </w:tr>
      <w:tr>
        <w:tc>
          <w:tcPr>
            <w:tcW w:type="dxa" w:w="2076"/>
          </w:tcPr>
          <w:p/>
        </w:tc>
        <w:tc>
          <w:tcPr>
            <w:tcW w:type="dxa" w:w="2076"/>
          </w:tcPr>
          <w:p>
            <w:pPr>
              <w:pStyle w:val="null3"/>
              <w:jc w:val="center"/>
            </w:pPr>
            <w:r>
              <w:rPr/>
              <w:t>2</w:t>
            </w:r>
          </w:p>
        </w:tc>
        <w:tc>
          <w:tcPr>
            <w:tcW w:type="dxa" w:w="2076"/>
          </w:tcPr>
          <w:p>
            <w:pPr>
              <w:pStyle w:val="null3"/>
              <w:jc w:val="left"/>
            </w:pPr>
            <w:r>
              <w:rPr/>
              <w:t>其它要求</w:t>
            </w:r>
          </w:p>
        </w:tc>
        <w:tc>
          <w:tcPr>
            <w:tcW w:type="dxa" w:w="2076"/>
          </w:tcPr>
          <w:p>
            <w:pPr>
              <w:pStyle w:val="null3"/>
              <w:jc w:val="left"/>
            </w:pPr>
            <w:r>
              <w:rPr/>
              <w:t>供应商在响应文件中要列明在项目实施过程中要求业主提供的配合条件（如有）</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其他专业技术服务</w:t>
            </w:r>
          </w:p>
        </w:tc>
        <w:tc>
          <w:tcPr>
            <w:tcW w:type="dxa" w:w="933"/>
          </w:tcPr>
          <w:p>
            <w:pPr>
              <w:pStyle w:val="null3"/>
              <w:jc w:val="left"/>
            </w:pPr>
            <w:r>
              <w:rPr/>
              <w:t>连平县陂头镇生态旅游示范区文化旅游基础设施建设项目检验检测费</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1,651,698.40</w:t>
            </w:r>
          </w:p>
        </w:tc>
        <w:tc>
          <w:tcPr>
            <w:tcW w:type="dxa" w:w="933"/>
          </w:tcPr>
          <w:p>
            <w:pPr>
              <w:pStyle w:val="null3"/>
              <w:jc w:val="right"/>
            </w:pPr>
            <w:r>
              <w:rPr/>
              <w:t>1,651,698.40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连平县陂头镇生态旅游示范区文化旅游基础设施建设项目检验检测费</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562"/>
              <w:jc w:val="both"/>
            </w:pPr>
            <w:r>
              <w:rPr>
                <w:sz w:val="24"/>
                <w:b/>
              </w:rPr>
              <w:t>一、检测依据</w:t>
            </w:r>
          </w:p>
          <w:p>
            <w:pPr>
              <w:pStyle w:val="null3"/>
              <w:ind w:firstLine="504"/>
              <w:jc w:val="both"/>
            </w:pPr>
            <w:r>
              <w:rPr>
                <w:sz w:val="24"/>
              </w:rPr>
              <w:t>（</w:t>
            </w:r>
            <w:r>
              <w:rPr>
                <w:sz w:val="24"/>
              </w:rPr>
              <w:t>1</w:t>
            </w:r>
            <w:r>
              <w:rPr>
                <w:sz w:val="24"/>
              </w:rPr>
              <w:t>）《建筑桩基</w:t>
            </w:r>
            <w:r>
              <w:rPr>
                <w:sz w:val="24"/>
              </w:rPr>
              <w:t>检测</w:t>
            </w:r>
            <w:r>
              <w:rPr>
                <w:sz w:val="24"/>
              </w:rPr>
              <w:t>技术规范》</w:t>
            </w:r>
            <w:r>
              <w:rPr>
                <w:sz w:val="24"/>
              </w:rPr>
              <w:t>JGJ</w:t>
            </w:r>
            <w:r>
              <w:rPr>
                <w:sz w:val="24"/>
              </w:rPr>
              <w:t>106-2014</w:t>
            </w:r>
            <w:r>
              <w:rPr>
                <w:sz w:val="24"/>
              </w:rPr>
              <w:t>；</w:t>
            </w:r>
          </w:p>
          <w:p>
            <w:pPr>
              <w:pStyle w:val="null3"/>
              <w:ind w:firstLine="504"/>
              <w:jc w:val="both"/>
            </w:pPr>
            <w:r>
              <w:rPr>
                <w:sz w:val="24"/>
              </w:rPr>
              <w:t>（</w:t>
            </w:r>
            <w:r>
              <w:rPr>
                <w:sz w:val="24"/>
              </w:rPr>
              <w:t>2</w:t>
            </w:r>
            <w:r>
              <w:rPr>
                <w:sz w:val="24"/>
              </w:rPr>
              <w:t>）</w:t>
            </w:r>
            <w:r>
              <w:rPr>
                <w:sz w:val="24"/>
              </w:rPr>
              <w:t>《建筑地基基础检测规范》</w:t>
            </w:r>
            <w:r>
              <w:rPr>
                <w:sz w:val="24"/>
              </w:rPr>
              <w:t>DBJ</w:t>
            </w:r>
            <w:r>
              <w:rPr>
                <w:sz w:val="24"/>
              </w:rPr>
              <w:t>/T</w:t>
            </w:r>
            <w:r>
              <w:rPr>
                <w:sz w:val="24"/>
              </w:rPr>
              <w:t>15-60-20</w:t>
            </w:r>
            <w:r>
              <w:rPr>
                <w:sz w:val="24"/>
              </w:rPr>
              <w:t>19</w:t>
            </w:r>
            <w:r>
              <w:rPr>
                <w:sz w:val="24"/>
              </w:rPr>
              <w:t>；</w:t>
            </w:r>
          </w:p>
          <w:p>
            <w:pPr>
              <w:pStyle w:val="null3"/>
              <w:ind w:firstLine="504"/>
              <w:jc w:val="both"/>
            </w:pPr>
            <w:r>
              <w:rPr>
                <w:sz w:val="24"/>
              </w:rPr>
              <w:t>（</w:t>
            </w:r>
            <w:r>
              <w:rPr>
                <w:sz w:val="24"/>
              </w:rPr>
              <w:t>3</w:t>
            </w:r>
            <w:r>
              <w:rPr>
                <w:sz w:val="24"/>
              </w:rPr>
              <w:t>）设计图纸等基础资料。</w:t>
            </w:r>
          </w:p>
          <w:p>
            <w:pPr>
              <w:pStyle w:val="null3"/>
              <w:ind w:firstLine="504"/>
              <w:jc w:val="both"/>
            </w:pPr>
            <w:r>
              <w:rPr>
                <w:sz w:val="24"/>
              </w:rPr>
              <w:t>（</w:t>
            </w:r>
            <w:r>
              <w:rPr>
                <w:sz w:val="24"/>
              </w:rPr>
              <w:t>4</w:t>
            </w:r>
            <w:r>
              <w:rPr>
                <w:sz w:val="24"/>
              </w:rPr>
              <w:t>）</w:t>
            </w:r>
            <w:r>
              <w:rPr>
                <w:sz w:val="24"/>
              </w:rPr>
              <w:t>国家、广东省和</w:t>
            </w:r>
            <w:r>
              <w:rPr>
                <w:sz w:val="24"/>
              </w:rPr>
              <w:t>河源</w:t>
            </w:r>
            <w:r>
              <w:rPr>
                <w:sz w:val="24"/>
              </w:rPr>
              <w:t>市</w:t>
            </w:r>
            <w:r>
              <w:rPr>
                <w:sz w:val="24"/>
              </w:rPr>
              <w:t>的其它现行相关规范、规程。</w:t>
            </w:r>
          </w:p>
          <w:p>
            <w:pPr>
              <w:pStyle w:val="null3"/>
              <w:ind w:firstLine="562"/>
              <w:jc w:val="both"/>
            </w:pPr>
            <w:r>
              <w:rPr>
                <w:sz w:val="24"/>
                <w:b/>
              </w:rPr>
              <w:t>二、检测目的</w:t>
            </w:r>
          </w:p>
          <w:p>
            <w:pPr>
              <w:pStyle w:val="null3"/>
              <w:spacing w:after="120"/>
              <w:ind w:left="1020"/>
              <w:jc w:val="both"/>
            </w:pPr>
            <w:r>
              <w:rPr>
                <w:sz w:val="24"/>
              </w:rPr>
              <w:t>1）标准贯入试验：鉴别持力层岩土性状，推定</w:t>
            </w:r>
            <w:r>
              <w:rPr>
                <w:sz w:val="24"/>
              </w:rPr>
              <w:t>天然基础</w:t>
            </w:r>
            <w:r>
              <w:rPr>
                <w:sz w:val="24"/>
              </w:rPr>
              <w:t>承载力。</w:t>
            </w:r>
          </w:p>
          <w:p>
            <w:pPr>
              <w:pStyle w:val="null3"/>
              <w:spacing w:after="120"/>
              <w:ind w:left="1020"/>
              <w:jc w:val="both"/>
            </w:pPr>
            <w:r>
              <w:rPr>
                <w:sz w:val="24"/>
              </w:rPr>
              <w:t>2）轻型触探试验：鉴别持力层岩土性状，推定</w:t>
            </w:r>
            <w:r>
              <w:rPr>
                <w:sz w:val="24"/>
              </w:rPr>
              <w:t>天然基础</w:t>
            </w:r>
            <w:r>
              <w:rPr>
                <w:sz w:val="24"/>
              </w:rPr>
              <w:t>承载力。</w:t>
            </w:r>
          </w:p>
          <w:p>
            <w:pPr>
              <w:pStyle w:val="null3"/>
              <w:spacing w:after="120"/>
              <w:ind w:left="1020"/>
              <w:jc w:val="both"/>
            </w:pPr>
            <w:r>
              <w:rPr>
                <w:sz w:val="24"/>
              </w:rPr>
              <w:t>3）平板载荷试验：用于检测</w:t>
            </w:r>
            <w:r>
              <w:rPr>
                <w:sz w:val="24"/>
              </w:rPr>
              <w:t>天然基础</w:t>
            </w:r>
            <w:r>
              <w:rPr>
                <w:sz w:val="24"/>
              </w:rPr>
              <w:t>的承载力。</w:t>
            </w:r>
          </w:p>
          <w:p>
            <w:pPr>
              <w:pStyle w:val="null3"/>
              <w:spacing w:after="120"/>
              <w:ind w:left="1020"/>
              <w:jc w:val="both"/>
            </w:pPr>
            <w:r>
              <w:rPr>
                <w:sz w:val="24"/>
              </w:rPr>
              <w:t>4）低应变：用于检测</w:t>
            </w:r>
            <w:r>
              <w:rPr>
                <w:sz w:val="24"/>
              </w:rPr>
              <w:t>管桩</w:t>
            </w:r>
            <w:r>
              <w:rPr>
                <w:sz w:val="24"/>
              </w:rPr>
              <w:t>的完整性。</w:t>
            </w:r>
          </w:p>
          <w:p>
            <w:pPr>
              <w:pStyle w:val="null3"/>
              <w:ind w:firstLine="562"/>
              <w:jc w:val="both"/>
            </w:pPr>
            <w:r>
              <w:rPr>
                <w:sz w:val="24"/>
              </w:rPr>
              <w:t>5）抗压静载试验：用于检测</w:t>
            </w:r>
            <w:r>
              <w:rPr>
                <w:sz w:val="24"/>
              </w:rPr>
              <w:t>管桩</w:t>
            </w:r>
            <w:r>
              <w:rPr>
                <w:sz w:val="24"/>
              </w:rPr>
              <w:t>的抗压承载力。</w:t>
            </w:r>
          </w:p>
          <w:p>
            <w:pPr>
              <w:pStyle w:val="null3"/>
              <w:spacing w:after="120"/>
              <w:ind w:firstLine="482"/>
              <w:jc w:val="both"/>
            </w:pPr>
            <w:r>
              <w:rPr>
                <w:sz w:val="24"/>
                <w:b/>
              </w:rPr>
              <w:t>三、检测要求</w:t>
            </w:r>
          </w:p>
          <w:p>
            <w:pPr>
              <w:pStyle w:val="null3"/>
              <w:ind w:firstLine="880"/>
              <w:jc w:val="both"/>
            </w:pPr>
            <w:r>
              <w:rPr>
                <w:sz w:val="28"/>
              </w:rPr>
              <w:t>1、一般规定</w:t>
            </w:r>
          </w:p>
          <w:p>
            <w:pPr>
              <w:pStyle w:val="null3"/>
              <w:ind w:firstLine="480"/>
              <w:jc w:val="left"/>
            </w:pPr>
            <w:r>
              <w:rPr>
                <w:sz w:val="24"/>
                <w:color w:val="000000"/>
              </w:rPr>
              <w:t>（</w:t>
            </w:r>
            <w:r>
              <w:rPr>
                <w:sz w:val="24"/>
                <w:color w:val="000000"/>
              </w:rPr>
              <w:t>1）地基基础工程验收检测的抽检数量应按单位工程计算。当单位工程由若干个子单位工程组成时，抽检数量宜按子单位工程计算。</w:t>
            </w:r>
          </w:p>
          <w:p>
            <w:pPr>
              <w:pStyle w:val="null3"/>
              <w:ind w:firstLine="480"/>
              <w:jc w:val="left"/>
            </w:pPr>
            <w:r>
              <w:rPr>
                <w:sz w:val="24"/>
                <w:color w:val="000000"/>
              </w:rPr>
              <w:t>（</w:t>
            </w:r>
            <w:r>
              <w:rPr>
                <w:sz w:val="24"/>
                <w:color w:val="000000"/>
              </w:rPr>
              <w:t>2）同一单位工程采用不同地基基础类型时，应分别确定检测方法和抽检数量；同一单位工程中采用不同桩型或不同地基处理方法的，宜分别确定检测方法和抽检数量。</w:t>
            </w:r>
          </w:p>
          <w:p>
            <w:pPr>
              <w:pStyle w:val="null3"/>
              <w:ind w:firstLine="480"/>
              <w:jc w:val="left"/>
            </w:pPr>
            <w:r>
              <w:rPr>
                <w:sz w:val="24"/>
                <w:color w:val="000000"/>
              </w:rPr>
              <w:t>（</w:t>
            </w:r>
            <w:r>
              <w:rPr>
                <w:sz w:val="24"/>
                <w:color w:val="000000"/>
              </w:rPr>
              <w:t>3）对补桩、加固处理后的桩应进行抽检。</w:t>
            </w:r>
          </w:p>
          <w:p>
            <w:pPr>
              <w:pStyle w:val="null3"/>
              <w:ind w:firstLine="480"/>
              <w:jc w:val="left"/>
            </w:pPr>
            <w:r>
              <w:rPr>
                <w:sz w:val="24"/>
                <w:color w:val="000000"/>
              </w:rPr>
              <w:t>（</w:t>
            </w:r>
            <w:r>
              <w:rPr>
                <w:sz w:val="24"/>
                <w:color w:val="000000"/>
              </w:rPr>
              <w:t>4）地基基础检测对象或检测位置，应根据下列情况综合确定：</w:t>
            </w:r>
          </w:p>
          <w:p>
            <w:pPr>
              <w:pStyle w:val="null3"/>
              <w:ind w:firstLine="480"/>
              <w:jc w:val="left"/>
            </w:pPr>
            <w:r>
              <w:rPr>
                <w:sz w:val="24"/>
                <w:color w:val="000000"/>
              </w:rPr>
              <w:t>1）因混凝土供应异常、施工设备故障以及气候和环境等原因，施工质量可能偏离正常情况；</w:t>
            </w:r>
          </w:p>
          <w:p>
            <w:pPr>
              <w:pStyle w:val="null3"/>
              <w:ind w:firstLine="480"/>
              <w:jc w:val="left"/>
            </w:pPr>
            <w:r>
              <w:rPr>
                <w:sz w:val="24"/>
                <w:color w:val="000000"/>
              </w:rPr>
              <w:t>2）局部岩土特性复杂可能影响施工质量的区域</w:t>
            </w:r>
          </w:p>
          <w:p>
            <w:pPr>
              <w:pStyle w:val="null3"/>
              <w:ind w:firstLine="480"/>
              <w:jc w:val="left"/>
            </w:pPr>
            <w:r>
              <w:rPr>
                <w:sz w:val="24"/>
                <w:color w:val="000000"/>
              </w:rPr>
              <w:t>3）设计认为重要的部位；</w:t>
            </w:r>
          </w:p>
          <w:p>
            <w:pPr>
              <w:pStyle w:val="null3"/>
              <w:ind w:firstLine="480"/>
              <w:jc w:val="left"/>
            </w:pPr>
            <w:r>
              <w:rPr>
                <w:sz w:val="24"/>
                <w:color w:val="000000"/>
              </w:rPr>
              <w:t>4）外部荷载较大的部位；</w:t>
            </w:r>
          </w:p>
          <w:p>
            <w:pPr>
              <w:pStyle w:val="null3"/>
              <w:ind w:firstLine="480"/>
              <w:jc w:val="left"/>
            </w:pPr>
            <w:r>
              <w:rPr>
                <w:sz w:val="24"/>
                <w:color w:val="000000"/>
              </w:rPr>
              <w:t>5）天然地基与处理土地基承载力检测，应根据岩土性状检测结果与地基处理效果确定载荷试验的检测位置；且应对标准贯入试验实测锤击数、圆锥动力触探试验锤击数、静力触探试验比贯入阻力或锥尖阻力、十字板剪切试验不排水抗剪强度等单孔代表值较小的区域进行抽检；</w:t>
            </w:r>
          </w:p>
          <w:p>
            <w:pPr>
              <w:pStyle w:val="null3"/>
              <w:ind w:firstLine="480"/>
              <w:jc w:val="left"/>
            </w:pPr>
            <w:r>
              <w:rPr>
                <w:sz w:val="24"/>
                <w:color w:val="000000"/>
              </w:rPr>
              <w:t>6）复合地基与其增强体承载力检测，应根据复合地基增强体成桩质量或桩身完整性检测结果确定载荷试验的桩号；且应对成桩质量较差的桩或桩身完整性为Ⅲ类的桩进行抽检；</w:t>
            </w:r>
          </w:p>
          <w:p>
            <w:pPr>
              <w:pStyle w:val="null3"/>
              <w:ind w:firstLine="480"/>
              <w:jc w:val="left"/>
            </w:pPr>
            <w:r>
              <w:rPr>
                <w:sz w:val="24"/>
                <w:color w:val="000000"/>
              </w:rPr>
              <w:t>7）工程桩承载力检测宜根据成桩质量或桩身完整性检测结果确定单桩静载试验或高应变法检测的桩号；且应对成桩质量相对较差的桩或桩身完整性为Ⅲ类的桩进行抽检；</w:t>
            </w:r>
          </w:p>
          <w:p>
            <w:pPr>
              <w:pStyle w:val="null3"/>
              <w:ind w:firstLine="480"/>
              <w:jc w:val="left"/>
            </w:pPr>
            <w:r>
              <w:rPr>
                <w:sz w:val="24"/>
                <w:color w:val="000000"/>
              </w:rPr>
              <w:t>8）除符合以上第1～7款的规定外，其他检测对象或检测位置宜均匀或随机选择。</w:t>
            </w:r>
          </w:p>
          <w:p>
            <w:pPr>
              <w:pStyle w:val="null3"/>
              <w:ind w:firstLine="480"/>
              <w:jc w:val="left"/>
            </w:pPr>
            <w:r>
              <w:rPr>
                <w:sz w:val="24"/>
                <w:color w:val="000000"/>
              </w:rPr>
              <w:t>（</w:t>
            </w:r>
            <w:r>
              <w:rPr>
                <w:sz w:val="24"/>
                <w:color w:val="000000"/>
              </w:rPr>
              <w:t>5）所有检测报告应包含以下内容：</w:t>
            </w:r>
          </w:p>
          <w:p>
            <w:pPr>
              <w:pStyle w:val="null3"/>
              <w:ind w:firstLine="480"/>
              <w:jc w:val="left"/>
            </w:pPr>
            <w:r>
              <w:rPr>
                <w:sz w:val="24"/>
                <w:color w:val="000000"/>
              </w:rPr>
              <w:t>1）委托方名称，工程名称、工程地点，建设、勘察、设计、监理和施工单位，基础类型，设计要求，检测目的，检测依据，检测数量，检测日期；</w:t>
            </w:r>
          </w:p>
          <w:p>
            <w:pPr>
              <w:pStyle w:val="null3"/>
              <w:ind w:firstLine="480"/>
              <w:jc w:val="left"/>
            </w:pPr>
            <w:r>
              <w:rPr>
                <w:sz w:val="24"/>
                <w:color w:val="000000"/>
              </w:rPr>
              <w:t>2）代表性岩土工程勘察资料；</w:t>
            </w:r>
          </w:p>
          <w:p>
            <w:pPr>
              <w:pStyle w:val="null3"/>
              <w:ind w:firstLine="480"/>
              <w:jc w:val="left"/>
            </w:pPr>
            <w:r>
              <w:rPr>
                <w:sz w:val="24"/>
                <w:color w:val="000000"/>
              </w:rPr>
              <w:t>3）检测对象或检测位置的唯一性标识和相关施工记录；</w:t>
            </w:r>
          </w:p>
          <w:p>
            <w:pPr>
              <w:pStyle w:val="null3"/>
              <w:ind w:firstLine="480"/>
              <w:jc w:val="left"/>
            </w:pPr>
            <w:r>
              <w:rPr>
                <w:sz w:val="24"/>
                <w:color w:val="000000"/>
              </w:rPr>
              <w:t>4）主要检测仪器设备；</w:t>
            </w:r>
          </w:p>
          <w:p>
            <w:pPr>
              <w:pStyle w:val="null3"/>
              <w:ind w:firstLine="480"/>
              <w:jc w:val="left"/>
            </w:pPr>
            <w:r>
              <w:rPr>
                <w:sz w:val="24"/>
                <w:color w:val="000000"/>
              </w:rPr>
              <w:t>5）检测方法；</w:t>
            </w:r>
          </w:p>
          <w:p>
            <w:pPr>
              <w:pStyle w:val="null3"/>
              <w:ind w:firstLine="480"/>
              <w:jc w:val="left"/>
            </w:pPr>
            <w:r>
              <w:rPr>
                <w:sz w:val="24"/>
                <w:color w:val="000000"/>
              </w:rPr>
              <w:t>6）检测过程叙述及异常情况描述；</w:t>
            </w:r>
          </w:p>
          <w:p>
            <w:pPr>
              <w:pStyle w:val="null3"/>
              <w:ind w:firstLine="480"/>
              <w:jc w:val="left"/>
            </w:pPr>
            <w:r>
              <w:rPr>
                <w:sz w:val="24"/>
                <w:color w:val="000000"/>
              </w:rPr>
              <w:t>7）实测与计算分析图表和检测数据汇总结果；</w:t>
            </w:r>
          </w:p>
          <w:p>
            <w:pPr>
              <w:pStyle w:val="null3"/>
              <w:ind w:firstLine="480"/>
              <w:jc w:val="left"/>
            </w:pPr>
            <w:r>
              <w:rPr>
                <w:sz w:val="24"/>
                <w:color w:val="000000"/>
              </w:rPr>
              <w:t>8）与检测内容相应的结论。</w:t>
            </w:r>
          </w:p>
          <w:p>
            <w:pPr>
              <w:pStyle w:val="null3"/>
              <w:ind w:firstLine="880"/>
              <w:jc w:val="both"/>
            </w:pPr>
            <w:r>
              <w:rPr>
                <w:sz w:val="28"/>
              </w:rPr>
              <w:t>2、抽检比例及检测时间</w:t>
            </w:r>
          </w:p>
          <w:p>
            <w:pPr>
              <w:pStyle w:val="null3"/>
              <w:ind w:firstLine="480"/>
              <w:jc w:val="left"/>
            </w:pPr>
            <w:r>
              <w:rPr>
                <w:sz w:val="24"/>
                <w:color w:val="000000"/>
              </w:rPr>
              <w:t>依据广东省标准《建筑地基基础检测规范》</w:t>
            </w:r>
            <w:r>
              <w:rPr>
                <w:sz w:val="24"/>
                <w:color w:val="000000"/>
              </w:rPr>
              <w:t>DBJ/T15-60-2019的规定及设计要求，管桩应检测其完整性和承载力，本项目采用低应变和抗压静载试验进行检测；天然基础采用标准贯入试验、轻型触探试验和平板载荷试验。检测比例如下：</w:t>
            </w:r>
          </w:p>
          <w:p>
            <w:pPr>
              <w:pStyle w:val="null3"/>
              <w:ind w:firstLine="480"/>
              <w:jc w:val="left"/>
            </w:pPr>
            <w:r>
              <w:rPr>
                <w:sz w:val="24"/>
                <w:color w:val="000000"/>
              </w:rPr>
              <w:t>1）低应变：抽检数不少于总桩数的20%，每承台不少于1根，且不少于10根。</w:t>
            </w:r>
          </w:p>
          <w:p>
            <w:pPr>
              <w:pStyle w:val="null3"/>
              <w:ind w:firstLine="480"/>
              <w:jc w:val="left"/>
            </w:pPr>
            <w:r>
              <w:rPr>
                <w:sz w:val="24"/>
                <w:color w:val="000000"/>
              </w:rPr>
              <w:t>2）抗压静载试验：抽检数不少于总桩数的1%，且不少于3根。</w:t>
            </w:r>
          </w:p>
          <w:p>
            <w:pPr>
              <w:pStyle w:val="null3"/>
              <w:ind w:firstLine="480"/>
              <w:jc w:val="left"/>
            </w:pPr>
            <w:r>
              <w:rPr>
                <w:sz w:val="24"/>
                <w:color w:val="000000"/>
              </w:rPr>
              <w:t>3）标准贯入试验：每200m</w:t>
            </w:r>
            <w:r>
              <w:rPr>
                <w:sz w:val="24"/>
                <w:color w:val="000000"/>
                <w:vertAlign w:val="superscript"/>
              </w:rPr>
              <w:t>2</w:t>
            </w:r>
            <w:r>
              <w:rPr>
                <w:sz w:val="24"/>
                <w:color w:val="000000"/>
              </w:rPr>
              <w:t>抽检</w:t>
            </w:r>
            <w:r>
              <w:rPr>
                <w:sz w:val="24"/>
                <w:color w:val="000000"/>
              </w:rPr>
              <w:t>1点，每独立基础抽检1点，条形基础每20延米不得少于1点，不少于10个点。</w:t>
            </w:r>
          </w:p>
          <w:p>
            <w:pPr>
              <w:pStyle w:val="null3"/>
              <w:ind w:firstLine="480"/>
              <w:jc w:val="left"/>
            </w:pPr>
            <w:r>
              <w:rPr>
                <w:sz w:val="24"/>
                <w:color w:val="000000"/>
              </w:rPr>
              <w:t>4）轻型触探试验：每200m</w:t>
            </w:r>
            <w:r>
              <w:rPr>
                <w:sz w:val="24"/>
                <w:color w:val="000000"/>
                <w:vertAlign w:val="superscript"/>
              </w:rPr>
              <w:t>2</w:t>
            </w:r>
            <w:r>
              <w:rPr>
                <w:sz w:val="24"/>
                <w:color w:val="000000"/>
              </w:rPr>
              <w:t>抽检</w:t>
            </w:r>
            <w:r>
              <w:rPr>
                <w:sz w:val="24"/>
                <w:color w:val="000000"/>
              </w:rPr>
              <w:t>1点，每独立基础抽检1点，条形基础每20延米不得少于1点，不少于10个点。</w:t>
            </w:r>
          </w:p>
          <w:p>
            <w:pPr>
              <w:pStyle w:val="null3"/>
              <w:ind w:firstLine="480"/>
              <w:jc w:val="left"/>
            </w:pPr>
            <w:r>
              <w:rPr>
                <w:sz w:val="24"/>
                <w:color w:val="000000"/>
              </w:rPr>
              <w:t>5）平板载荷试验：每500m</w:t>
            </w:r>
            <w:r>
              <w:rPr>
                <w:sz w:val="24"/>
                <w:color w:val="000000"/>
                <w:vertAlign w:val="superscript"/>
              </w:rPr>
              <w:t>2</w:t>
            </w:r>
            <w:r>
              <w:rPr>
                <w:sz w:val="24"/>
                <w:color w:val="000000"/>
              </w:rPr>
              <w:t>抽检</w:t>
            </w:r>
            <w:r>
              <w:rPr>
                <w:sz w:val="24"/>
                <w:color w:val="000000"/>
              </w:rPr>
              <w:t>1点，且不少于3个点。</w:t>
            </w:r>
          </w:p>
          <w:p>
            <w:pPr>
              <w:pStyle w:val="null3"/>
              <w:ind w:firstLine="880"/>
              <w:jc w:val="both"/>
            </w:pPr>
            <w:r>
              <w:rPr>
                <w:sz w:val="28"/>
              </w:rPr>
              <w:t>3、检测数量</w:t>
            </w:r>
          </w:p>
          <w:p>
            <w:pPr>
              <w:pStyle w:val="null3"/>
              <w:spacing w:before="120" w:after="120"/>
              <w:ind w:firstLine="880"/>
              <w:jc w:val="center"/>
            </w:pPr>
            <w:r>
              <w:rPr>
                <w:sz w:val="24"/>
                <w:b/>
                <w:color w:val="000000"/>
              </w:rPr>
              <w:t>桩基础工程量及检测数量表</w:t>
            </w:r>
          </w:p>
          <w:tbl>
            <w:tblPr>
              <w:tblInd w:type="dxa" w:w="120"/>
              <w:tblBorders>
                <w:top w:val="none" w:color="000000" w:sz="4"/>
                <w:left w:val="none" w:color="000000" w:sz="4"/>
                <w:bottom w:val="none" w:color="000000" w:sz="4"/>
                <w:right w:val="none" w:color="000000" w:sz="4"/>
                <w:insideH w:val="none"/>
                <w:insideV w:val="none"/>
              </w:tblBorders>
            </w:tblPr>
            <w:tblGrid>
              <w:gridCol w:w="1246"/>
              <w:gridCol w:w="797"/>
              <w:gridCol w:w="857"/>
              <w:gridCol w:w="1224"/>
              <w:gridCol w:w="764"/>
              <w:gridCol w:w="708"/>
            </w:tblGrid>
            <w:tr>
              <w:tc>
                <w:tcPr>
                  <w:tcW w:type="dxa" w:w="124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楼号</w:t>
                  </w:r>
                </w:p>
              </w:tc>
              <w:tc>
                <w:tcPr>
                  <w:tcW w:type="dxa" w:w="79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承台数量</w:t>
                  </w:r>
                </w:p>
              </w:tc>
              <w:tc>
                <w:tcPr>
                  <w:tcW w:type="dxa" w:w="85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桩基数量</w:t>
                  </w:r>
                </w:p>
              </w:tc>
              <w:tc>
                <w:tcPr>
                  <w:tcW w:type="dxa" w:w="12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单桩竖向抗压承载力特征值（</w:t>
                  </w:r>
                  <w:r>
                    <w:rPr>
                      <w:sz w:val="22"/>
                      <w:color w:val="000000"/>
                    </w:rPr>
                    <w:t>kN）</w:t>
                  </w:r>
                </w:p>
              </w:tc>
              <w:tc>
                <w:tcPr>
                  <w:tcW w:type="dxa" w:w="76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低应变</w:t>
                  </w:r>
                </w:p>
              </w:tc>
              <w:tc>
                <w:tcPr>
                  <w:tcW w:type="dxa" w:w="70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抗压静载试验</w:t>
                  </w:r>
                </w:p>
              </w:tc>
            </w:tr>
            <w:tr>
              <w:tc>
                <w:tcPr>
                  <w:tcW w:type="dxa" w:w="1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旅游特产品科普基地</w:t>
                  </w:r>
                  <w:r>
                    <w:rPr>
                      <w:sz w:val="22"/>
                      <w:color w:val="000000"/>
                    </w:rPr>
                    <w:t>-仓库</w:t>
                  </w:r>
                </w:p>
              </w:tc>
              <w:tc>
                <w:tcPr>
                  <w:tcW w:type="dxa" w:w="7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36</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109</w:t>
                  </w:r>
                </w:p>
              </w:tc>
              <w:tc>
                <w:tcPr>
                  <w:tcW w:type="dxa" w:w="12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1000</w:t>
                  </w:r>
                </w:p>
              </w:tc>
              <w:tc>
                <w:tcPr>
                  <w:tcW w:type="dxa" w:w="7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36</w:t>
                  </w:r>
                </w:p>
              </w:tc>
              <w:tc>
                <w:tcPr>
                  <w:tcW w:type="dxa" w:w="7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6</w:t>
                  </w:r>
                </w:p>
              </w:tc>
            </w:tr>
          </w:tbl>
          <w:p>
            <w:pPr>
              <w:pStyle w:val="null3"/>
              <w:spacing w:before="120" w:after="120"/>
              <w:ind w:firstLine="880"/>
              <w:jc w:val="center"/>
            </w:pPr>
            <w:r>
              <w:rPr>
                <w:sz w:val="24"/>
                <w:b/>
                <w:color w:val="000000"/>
              </w:rPr>
              <w:t>天然基础工程量及检测数量表</w:t>
            </w:r>
          </w:p>
          <w:tbl>
            <w:tblPr>
              <w:tblInd w:type="dxa" w:w="120"/>
              <w:tblBorders>
                <w:top w:val="none" w:color="000000" w:sz="4"/>
                <w:left w:val="none" w:color="000000" w:sz="4"/>
                <w:bottom w:val="none" w:color="000000" w:sz="4"/>
                <w:right w:val="none" w:color="000000" w:sz="4"/>
                <w:insideH w:val="none"/>
                <w:insideV w:val="none"/>
              </w:tblBorders>
            </w:tblPr>
            <w:tblGrid>
              <w:gridCol w:w="988"/>
              <w:gridCol w:w="601"/>
              <w:gridCol w:w="753"/>
              <w:gridCol w:w="779"/>
              <w:gridCol w:w="795"/>
              <w:gridCol w:w="558"/>
              <w:gridCol w:w="558"/>
              <w:gridCol w:w="558"/>
            </w:tblGrid>
            <w:tr>
              <w:tc>
                <w:tcPr>
                  <w:tcW w:type="dxa" w:w="98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楼号</w:t>
                  </w:r>
                </w:p>
              </w:tc>
              <w:tc>
                <w:tcPr>
                  <w:tcW w:type="dxa" w:w="60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面积（㎡）</w:t>
                  </w:r>
                </w:p>
              </w:tc>
              <w:tc>
                <w:tcPr>
                  <w:tcW w:type="dxa" w:w="7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持力层</w:t>
                  </w:r>
                </w:p>
              </w:tc>
              <w:tc>
                <w:tcPr>
                  <w:tcW w:type="dxa" w:w="7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基础</w:t>
                  </w:r>
                </w:p>
              </w:tc>
              <w:tc>
                <w:tcPr>
                  <w:tcW w:type="dxa" w:w="79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地基承载力特征值（</w:t>
                  </w:r>
                  <w:r>
                    <w:rPr>
                      <w:sz w:val="22"/>
                      <w:color w:val="000000"/>
                    </w:rPr>
                    <w:t>kPa）</w:t>
                  </w:r>
                </w:p>
              </w:tc>
              <w:tc>
                <w:tcPr>
                  <w:tcW w:type="dxa" w:w="55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轻型触探试验</w:t>
                  </w:r>
                </w:p>
              </w:tc>
              <w:tc>
                <w:tcPr>
                  <w:tcW w:type="dxa" w:w="55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标准贯入试验</w:t>
                  </w:r>
                </w:p>
              </w:tc>
              <w:tc>
                <w:tcPr>
                  <w:tcW w:type="dxa" w:w="55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平板载荷试验</w:t>
                  </w:r>
                </w:p>
              </w:tc>
            </w:tr>
            <w:tr>
              <w:tc>
                <w:tcPr>
                  <w:tcW w:type="dxa" w:w="9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陂头全域旅游游客接待中心</w:t>
                  </w:r>
                  <w:r>
                    <w:rPr>
                      <w:sz w:val="22"/>
                      <w:color w:val="000000"/>
                    </w:rPr>
                    <w:t>1#楼</w:t>
                  </w:r>
                </w:p>
              </w:tc>
              <w:tc>
                <w:tcPr>
                  <w:tcW w:type="dxa" w:w="6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约</w:t>
                  </w:r>
                  <w:r>
                    <w:rPr>
                      <w:sz w:val="22"/>
                      <w:color w:val="000000"/>
                    </w:rPr>
                    <w:t>1300</w:t>
                  </w:r>
                </w:p>
              </w:tc>
              <w:tc>
                <w:tcPr>
                  <w:tcW w:type="dxa" w:w="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卵石</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36个独立基础</w:t>
                  </w:r>
                </w:p>
              </w:tc>
              <w:tc>
                <w:tcPr>
                  <w:tcW w:type="dxa" w:w="7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320</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color w:val="000000"/>
                    </w:rPr>
                    <w:t>36</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6</w:t>
                  </w:r>
                </w:p>
              </w:tc>
            </w:tr>
            <w:tr>
              <w:tc>
                <w:tcPr>
                  <w:tcW w:type="dxa" w:w="9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陂头全域旅游游客接待中心</w:t>
                  </w:r>
                  <w:r>
                    <w:rPr>
                      <w:sz w:val="22"/>
                      <w:color w:val="000000"/>
                    </w:rPr>
                    <w:t>2#楼</w:t>
                  </w:r>
                </w:p>
              </w:tc>
              <w:tc>
                <w:tcPr>
                  <w:tcW w:type="dxa" w:w="6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约</w:t>
                  </w:r>
                  <w:r>
                    <w:rPr>
                      <w:sz w:val="22"/>
                      <w:color w:val="000000"/>
                    </w:rPr>
                    <w:t>150</w:t>
                  </w:r>
                </w:p>
              </w:tc>
              <w:tc>
                <w:tcPr>
                  <w:tcW w:type="dxa" w:w="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卵石</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条形基础约</w:t>
                  </w:r>
                  <w:r>
                    <w:rPr>
                      <w:sz w:val="22"/>
                      <w:color w:val="000000"/>
                    </w:rPr>
                    <w:t>70m</w:t>
                  </w:r>
                </w:p>
              </w:tc>
              <w:tc>
                <w:tcPr>
                  <w:tcW w:type="dxa" w:w="7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320</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color w:val="000000"/>
                    </w:rPr>
                    <w:t>10</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6</w:t>
                  </w:r>
                </w:p>
              </w:tc>
            </w:tr>
            <w:tr>
              <w:tc>
                <w:tcPr>
                  <w:tcW w:type="dxa" w:w="9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游客接待中心</w:t>
                  </w:r>
                </w:p>
              </w:tc>
              <w:tc>
                <w:tcPr>
                  <w:tcW w:type="dxa" w:w="6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约</w:t>
                  </w:r>
                  <w:r>
                    <w:rPr>
                      <w:sz w:val="22"/>
                      <w:color w:val="000000"/>
                    </w:rPr>
                    <w:t>1100</w:t>
                  </w:r>
                </w:p>
              </w:tc>
              <w:tc>
                <w:tcPr>
                  <w:tcW w:type="dxa" w:w="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卵石</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34个独立基础</w:t>
                  </w:r>
                </w:p>
              </w:tc>
              <w:tc>
                <w:tcPr>
                  <w:tcW w:type="dxa" w:w="7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300</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color w:val="000000"/>
                    </w:rPr>
                    <w:t>34</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6</w:t>
                  </w:r>
                </w:p>
              </w:tc>
            </w:tr>
            <w:tr>
              <w:tc>
                <w:tcPr>
                  <w:tcW w:type="dxa" w:w="9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旅游服务设施</w:t>
                  </w:r>
                  <w:r>
                    <w:rPr>
                      <w:sz w:val="22"/>
                      <w:color w:val="000000"/>
                    </w:rPr>
                    <w:t>-配套用房</w:t>
                  </w:r>
                </w:p>
              </w:tc>
              <w:tc>
                <w:tcPr>
                  <w:tcW w:type="dxa" w:w="6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约</w:t>
                  </w:r>
                  <w:r>
                    <w:rPr>
                      <w:sz w:val="22"/>
                      <w:color w:val="000000"/>
                    </w:rPr>
                    <w:t>130</w:t>
                  </w:r>
                </w:p>
              </w:tc>
              <w:tc>
                <w:tcPr>
                  <w:tcW w:type="dxa" w:w="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粉质黏土层</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14个独立基础</w:t>
                  </w:r>
                </w:p>
              </w:tc>
              <w:tc>
                <w:tcPr>
                  <w:tcW w:type="dxa" w:w="7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150</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14</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color w:val="000000"/>
                    </w:rPr>
                    <w:t>6</w:t>
                  </w:r>
                </w:p>
              </w:tc>
            </w:tr>
            <w:tr>
              <w:tc>
                <w:tcPr>
                  <w:tcW w:type="dxa" w:w="9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旅游配套驿站</w:t>
                  </w:r>
                </w:p>
              </w:tc>
              <w:tc>
                <w:tcPr>
                  <w:tcW w:type="dxa" w:w="6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约</w:t>
                  </w:r>
                  <w:r>
                    <w:rPr>
                      <w:sz w:val="22"/>
                      <w:color w:val="000000"/>
                    </w:rPr>
                    <w:t>270</w:t>
                  </w:r>
                </w:p>
              </w:tc>
              <w:tc>
                <w:tcPr>
                  <w:tcW w:type="dxa" w:w="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中砂层</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1个筏板基础</w:t>
                  </w:r>
                </w:p>
              </w:tc>
              <w:tc>
                <w:tcPr>
                  <w:tcW w:type="dxa" w:w="7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170</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10</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color w:val="000000"/>
                    </w:rPr>
                    <w:t>6</w:t>
                  </w:r>
                </w:p>
              </w:tc>
            </w:tr>
            <w:tr>
              <w:tc>
                <w:tcPr>
                  <w:tcW w:type="dxa" w:w="9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旅游特产品科普基地</w:t>
                  </w:r>
                  <w:r>
                    <w:rPr>
                      <w:sz w:val="22"/>
                      <w:color w:val="000000"/>
                    </w:rPr>
                    <w:t>-综合楼</w:t>
                  </w:r>
                </w:p>
              </w:tc>
              <w:tc>
                <w:tcPr>
                  <w:tcW w:type="dxa" w:w="6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约</w:t>
                  </w:r>
                  <w:r>
                    <w:rPr>
                      <w:sz w:val="22"/>
                      <w:color w:val="000000"/>
                    </w:rPr>
                    <w:t>1000</w:t>
                  </w:r>
                </w:p>
              </w:tc>
              <w:tc>
                <w:tcPr>
                  <w:tcW w:type="dxa" w:w="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强风化花岗岩层</w:t>
                  </w: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31个独立基础</w:t>
                  </w:r>
                </w:p>
              </w:tc>
              <w:tc>
                <w:tcPr>
                  <w:tcW w:type="dxa" w:w="7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500</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color w:val="000000"/>
                    </w:rPr>
                    <w:t>31</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6</w:t>
                  </w:r>
                </w:p>
              </w:tc>
            </w:tr>
            <w:tr>
              <w:tc>
                <w:tcPr>
                  <w:tcW w:type="dxa" w:w="9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合计</w:t>
                  </w:r>
                </w:p>
              </w:tc>
              <w:tc>
                <w:tcPr>
                  <w:tcW w:type="dxa" w:w="6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p>
              </w:tc>
              <w:tc>
                <w:tcPr>
                  <w:tcW w:type="dxa" w:w="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color w:val="000000"/>
                    </w:rPr>
                    <w:t>24</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111</w:t>
                  </w:r>
                </w:p>
              </w:tc>
              <w:tc>
                <w:tcPr>
                  <w:tcW w:type="dxa" w:w="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80"/>
                    <w:jc w:val="center"/>
                  </w:pPr>
                  <w:r>
                    <w:rPr>
                      <w:sz w:val="22"/>
                      <w:color w:val="000000"/>
                    </w:rPr>
                    <w:t>36</w:t>
                  </w:r>
                </w:p>
              </w:tc>
            </w:tr>
          </w:tbl>
          <w:p>
            <w:pPr>
              <w:pStyle w:val="null3"/>
              <w:ind w:firstLine="880"/>
              <w:jc w:val="both"/>
            </w:pPr>
            <w:r>
              <w:rPr>
                <w:sz w:val="24"/>
                <w:b/>
              </w:rPr>
              <w:t>注：</w:t>
            </w:r>
            <w:r>
              <w:rPr>
                <w:sz w:val="24"/>
                <w:b/>
              </w:rPr>
              <w:t>1、以上所有测点宜均匀分布，取重要性和有代表性部位或监理单位对现场施工过程具有疑问的部位，</w:t>
            </w:r>
            <w:r>
              <w:rPr>
                <w:sz w:val="24"/>
                <w:b/>
              </w:rPr>
              <w:t>上述部分检测选点仅为暂时指定点，</w:t>
            </w:r>
            <w:r>
              <w:rPr>
                <w:sz w:val="24"/>
                <w:b/>
              </w:rPr>
              <w:t>具体检测桩号选取由设计、监理、勘察、检测和建设单位共同确定；</w:t>
            </w:r>
          </w:p>
          <w:p>
            <w:pPr>
              <w:pStyle w:val="null3"/>
              <w:ind w:firstLine="562"/>
              <w:jc w:val="both"/>
            </w:pPr>
            <w:r>
              <w:rPr>
                <w:sz w:val="24"/>
                <w:b/>
              </w:rPr>
              <w:t>扩大抽检应采用原抽检用的检测方法，或准确度更高的检测方法。扩大抽检完成后，应根据全部检测结果综合判定。当检测结果不满足设计要求时，应按不满足设计要求的数量加倍扩大抽检。</w:t>
            </w:r>
          </w:p>
          <w:p>
            <w:pPr>
              <w:pStyle w:val="null3"/>
              <w:ind w:firstLine="880"/>
              <w:jc w:val="both"/>
            </w:pPr>
            <w:r>
              <w:rPr>
                <w:sz w:val="24"/>
                <w:b/>
              </w:rPr>
              <w:t>四、</w:t>
            </w:r>
            <w:r>
              <w:rPr>
                <w:sz w:val="24"/>
                <w:b/>
                <w:color w:val="000000"/>
              </w:rPr>
              <w:t>项目技术及成果要求</w:t>
            </w:r>
          </w:p>
          <w:p>
            <w:pPr>
              <w:pStyle w:val="null3"/>
              <w:ind w:firstLine="480"/>
              <w:jc w:val="both"/>
            </w:pPr>
            <w:r>
              <w:rPr>
                <w:sz w:val="24"/>
                <w:color w:val="000000"/>
              </w:rPr>
              <w:t>1</w:t>
            </w:r>
            <w:r>
              <w:rPr>
                <w:sz w:val="24"/>
                <w:color w:val="000000"/>
              </w:rPr>
              <w:t>、项目依据的规范、规程和标准：符合国家及其他有关规范、规程和标准。</w:t>
            </w:r>
          </w:p>
          <w:p>
            <w:pPr>
              <w:pStyle w:val="null3"/>
              <w:ind w:firstLine="480"/>
              <w:jc w:val="both"/>
            </w:pPr>
            <w:r>
              <w:rPr>
                <w:sz w:val="24"/>
                <w:color w:val="000000"/>
              </w:rPr>
              <w:t>2</w:t>
            </w:r>
            <w:r>
              <w:rPr>
                <w:sz w:val="24"/>
                <w:color w:val="000000"/>
              </w:rPr>
              <w:t>、项目成果质量要求：</w:t>
            </w:r>
          </w:p>
          <w:p>
            <w:pPr>
              <w:pStyle w:val="null3"/>
              <w:ind w:firstLine="480"/>
              <w:jc w:val="both"/>
            </w:pPr>
            <w:r>
              <w:rPr>
                <w:sz w:val="24"/>
                <w:color w:val="000000"/>
              </w:rPr>
              <w:t>（</w:t>
            </w:r>
            <w:r>
              <w:rPr>
                <w:sz w:val="24"/>
                <w:color w:val="000000"/>
              </w:rPr>
              <w:t>1</w:t>
            </w:r>
            <w:r>
              <w:rPr>
                <w:sz w:val="24"/>
                <w:color w:val="000000"/>
              </w:rPr>
              <w:t>）符合国家检测实施办法要求；</w:t>
            </w:r>
          </w:p>
          <w:p>
            <w:pPr>
              <w:pStyle w:val="null3"/>
              <w:ind w:firstLine="480"/>
              <w:jc w:val="both"/>
            </w:pPr>
            <w:r>
              <w:rPr>
                <w:sz w:val="24"/>
                <w:color w:val="000000"/>
              </w:rPr>
              <w:t>（</w:t>
            </w:r>
            <w:r>
              <w:rPr>
                <w:sz w:val="24"/>
                <w:color w:val="000000"/>
              </w:rPr>
              <w:t>2</w:t>
            </w:r>
            <w:r>
              <w:rPr>
                <w:sz w:val="24"/>
                <w:color w:val="000000"/>
              </w:rPr>
              <w:t>）相关检测项目符合行业有关规范、规程和标准要求。</w:t>
            </w:r>
          </w:p>
          <w:p>
            <w:pPr>
              <w:pStyle w:val="null3"/>
              <w:ind w:firstLine="480"/>
              <w:jc w:val="both"/>
            </w:pPr>
            <w:r>
              <w:rPr>
                <w:sz w:val="24"/>
                <w:color w:val="000000"/>
              </w:rPr>
              <w:t>3</w:t>
            </w:r>
            <w:r>
              <w:rPr>
                <w:sz w:val="24"/>
                <w:color w:val="000000"/>
              </w:rPr>
              <w:t>、项目成果内容：</w:t>
            </w:r>
          </w:p>
          <w:p>
            <w:pPr>
              <w:pStyle w:val="null3"/>
              <w:ind w:firstLine="480"/>
              <w:jc w:val="both"/>
            </w:pPr>
            <w:r>
              <w:rPr>
                <w:sz w:val="24"/>
                <w:color w:val="000000"/>
              </w:rPr>
              <w:t>项目实施过程中除按规定及时、准确地向采购人和质量监督机构提交对比检测报告外，还应按档案管理有关要求提交作为工程验收归档的验收资料。</w:t>
            </w:r>
          </w:p>
          <w:p>
            <w:pPr>
              <w:pStyle w:val="null3"/>
              <w:ind w:firstLine="480"/>
              <w:jc w:val="both"/>
            </w:pPr>
            <w:r>
              <w:rPr>
                <w:sz w:val="24"/>
                <w:color w:val="000000"/>
              </w:rPr>
              <w:t>4</w:t>
            </w:r>
            <w:r>
              <w:rPr>
                <w:sz w:val="24"/>
                <w:color w:val="000000"/>
              </w:rPr>
              <w:t>、项目成果提交时间和份数：</w:t>
            </w:r>
          </w:p>
          <w:p>
            <w:pPr>
              <w:pStyle w:val="null3"/>
              <w:ind w:firstLine="480"/>
              <w:jc w:val="both"/>
            </w:pPr>
            <w:r>
              <w:rPr>
                <w:sz w:val="24"/>
                <w:color w:val="000000"/>
              </w:rPr>
              <w:t>（</w:t>
            </w:r>
            <w:r>
              <w:rPr>
                <w:sz w:val="24"/>
                <w:color w:val="000000"/>
              </w:rPr>
              <w:t>1</w:t>
            </w:r>
            <w:r>
              <w:rPr>
                <w:sz w:val="24"/>
                <w:color w:val="000000"/>
              </w:rPr>
              <w:t>）获得正式施工图后</w:t>
            </w:r>
            <w:r>
              <w:rPr>
                <w:sz w:val="24"/>
                <w:color w:val="000000"/>
              </w:rPr>
              <w:t>10</w:t>
            </w:r>
            <w:r>
              <w:rPr>
                <w:sz w:val="24"/>
                <w:color w:val="000000"/>
              </w:rPr>
              <w:t>个工作日内向采购人提供《检测方案》一份。</w:t>
            </w:r>
          </w:p>
          <w:p>
            <w:pPr>
              <w:pStyle w:val="null3"/>
              <w:ind w:firstLine="480"/>
              <w:jc w:val="both"/>
            </w:pPr>
            <w:r>
              <w:rPr>
                <w:sz w:val="24"/>
                <w:color w:val="000000"/>
              </w:rPr>
              <w:t>（</w:t>
            </w:r>
            <w:r>
              <w:rPr>
                <w:sz w:val="24"/>
                <w:color w:val="000000"/>
              </w:rPr>
              <w:t>2</w:t>
            </w:r>
            <w:r>
              <w:rPr>
                <w:sz w:val="24"/>
                <w:color w:val="000000"/>
              </w:rPr>
              <w:t>）与检测项目同步提交检测报告。</w:t>
            </w:r>
          </w:p>
          <w:p>
            <w:pPr>
              <w:pStyle w:val="null3"/>
              <w:ind w:firstLine="480"/>
              <w:jc w:val="both"/>
            </w:pPr>
            <w:r>
              <w:rPr>
                <w:sz w:val="24"/>
                <w:color w:val="000000"/>
              </w:rPr>
              <w:t>（</w:t>
            </w:r>
            <w:r>
              <w:rPr>
                <w:sz w:val="24"/>
                <w:color w:val="000000"/>
              </w:rPr>
              <w:t>3</w:t>
            </w:r>
            <w:r>
              <w:rPr>
                <w:sz w:val="24"/>
                <w:color w:val="000000"/>
              </w:rPr>
              <w:t>）与各阶段验收同步提交相关检测汇总成果，一式八份。</w:t>
            </w:r>
          </w:p>
          <w:p>
            <w:pPr>
              <w:pStyle w:val="null3"/>
              <w:ind w:firstLine="480"/>
              <w:jc w:val="both"/>
            </w:pPr>
            <w:r>
              <w:rPr>
                <w:sz w:val="24"/>
                <w:color w:val="000000"/>
              </w:rPr>
              <w:t>5</w:t>
            </w:r>
            <w:r>
              <w:rPr>
                <w:sz w:val="24"/>
                <w:color w:val="000000"/>
              </w:rPr>
              <w:t>、成果报告的提交：</w:t>
            </w:r>
          </w:p>
          <w:p>
            <w:pPr>
              <w:pStyle w:val="null3"/>
              <w:ind w:firstLine="480"/>
              <w:jc w:val="both"/>
            </w:pPr>
            <w:r>
              <w:rPr>
                <w:sz w:val="24"/>
                <w:color w:val="000000"/>
              </w:rPr>
              <w:t>（</w:t>
            </w:r>
            <w:r>
              <w:rPr>
                <w:sz w:val="24"/>
                <w:color w:val="000000"/>
              </w:rPr>
              <w:t>1</w:t>
            </w:r>
            <w:r>
              <w:rPr>
                <w:sz w:val="24"/>
                <w:color w:val="000000"/>
              </w:rPr>
              <w:t>）</w:t>
            </w:r>
            <w:r>
              <w:rPr>
                <w:sz w:val="24"/>
                <w:color w:val="000000"/>
              </w:rPr>
              <w:t>成交供应商</w:t>
            </w:r>
            <w:r>
              <w:rPr>
                <w:sz w:val="24"/>
                <w:color w:val="000000"/>
              </w:rPr>
              <w:t>在检测工作完成后，应按招标人要求及时提交有效的技术成果报告。报告分为初步报告和最终报告，初步报告应在每次检测后</w:t>
            </w:r>
            <w:r>
              <w:rPr>
                <w:sz w:val="24"/>
                <w:color w:val="000000"/>
              </w:rPr>
              <w:t>3</w:t>
            </w:r>
            <w:r>
              <w:rPr>
                <w:sz w:val="24"/>
                <w:color w:val="000000"/>
              </w:rPr>
              <w:t>天内提交招标人，一式叁份。最终报告应在每次检测后</w:t>
            </w:r>
            <w:r>
              <w:rPr>
                <w:sz w:val="24"/>
                <w:color w:val="000000"/>
              </w:rPr>
              <w:t>15</w:t>
            </w:r>
            <w:r>
              <w:rPr>
                <w:sz w:val="24"/>
                <w:color w:val="000000"/>
              </w:rPr>
              <w:t>天内提交，一式</w:t>
            </w:r>
            <w:r>
              <w:rPr>
                <w:sz w:val="24"/>
                <w:color w:val="000000"/>
              </w:rPr>
              <w:t>10</w:t>
            </w:r>
            <w:r>
              <w:rPr>
                <w:sz w:val="24"/>
                <w:color w:val="000000"/>
              </w:rPr>
              <w:t>份（如招标人有需要，增加报告份数，</w:t>
            </w:r>
            <w:r>
              <w:rPr>
                <w:sz w:val="24"/>
                <w:color w:val="000000"/>
              </w:rPr>
              <w:t>成交供应商</w:t>
            </w:r>
            <w:r>
              <w:rPr>
                <w:sz w:val="24"/>
                <w:color w:val="000000"/>
              </w:rPr>
              <w:t>无条件免费提供）；</w:t>
            </w:r>
          </w:p>
          <w:p>
            <w:pPr>
              <w:pStyle w:val="null3"/>
              <w:ind w:firstLine="480"/>
              <w:jc w:val="both"/>
            </w:pPr>
            <w:r>
              <w:rPr>
                <w:sz w:val="24"/>
                <w:color w:val="000000"/>
              </w:rPr>
              <w:t>（</w:t>
            </w:r>
            <w:r>
              <w:rPr>
                <w:sz w:val="24"/>
                <w:color w:val="000000"/>
              </w:rPr>
              <w:t>2</w:t>
            </w:r>
            <w:r>
              <w:rPr>
                <w:sz w:val="24"/>
                <w:color w:val="000000"/>
              </w:rPr>
              <w:t>）成果报告需加盖检测报告专用章和计量认证章（</w:t>
            </w:r>
            <w:r>
              <w:rPr>
                <w:sz w:val="24"/>
                <w:color w:val="000000"/>
              </w:rPr>
              <w:t>CMA</w:t>
            </w:r>
            <w:r>
              <w:rPr>
                <w:sz w:val="24"/>
                <w:color w:val="000000"/>
              </w:rPr>
              <w:t>章）。检测报告签认人员的检测资格证书必须在</w:t>
            </w:r>
            <w:r>
              <w:rPr>
                <w:sz w:val="24"/>
                <w:color w:val="000000"/>
              </w:rPr>
              <w:t>成交供应商</w:t>
            </w:r>
            <w:r>
              <w:rPr>
                <w:sz w:val="24"/>
                <w:color w:val="000000"/>
              </w:rPr>
              <w:t>处注册；</w:t>
            </w:r>
          </w:p>
          <w:p>
            <w:pPr>
              <w:pStyle w:val="null3"/>
              <w:ind w:firstLine="240"/>
              <w:jc w:val="both"/>
            </w:pPr>
            <w:r>
              <w:rPr>
                <w:sz w:val="24"/>
                <w:color w:val="000000"/>
              </w:rPr>
              <w:t>（</w:t>
            </w:r>
            <w:r>
              <w:rPr>
                <w:sz w:val="24"/>
                <w:color w:val="000000"/>
              </w:rPr>
              <w:t>3</w:t>
            </w:r>
            <w:r>
              <w:rPr>
                <w:sz w:val="24"/>
                <w:color w:val="000000"/>
              </w:rPr>
              <w:t>）所有检测报告必须符合国家和地方现行的规范、标准；</w:t>
            </w:r>
          </w:p>
          <w:p>
            <w:pPr>
              <w:pStyle w:val="null3"/>
              <w:ind w:firstLine="880"/>
              <w:jc w:val="both"/>
            </w:pPr>
            <w:r>
              <w:rPr>
                <w:sz w:val="24"/>
                <w:color w:val="000000"/>
              </w:rPr>
              <w:t>（</w:t>
            </w:r>
            <w:r>
              <w:rPr>
                <w:sz w:val="24"/>
                <w:color w:val="000000"/>
              </w:rPr>
              <w:t>4</w:t>
            </w:r>
            <w:r>
              <w:rPr>
                <w:sz w:val="24"/>
                <w:color w:val="000000"/>
              </w:rPr>
              <w:t>）相关行政主管部门对检测结果提出异议时，</w:t>
            </w:r>
            <w:r>
              <w:rPr>
                <w:sz w:val="24"/>
                <w:color w:val="000000"/>
              </w:rPr>
              <w:t>成交供应商</w:t>
            </w:r>
            <w:r>
              <w:rPr>
                <w:sz w:val="24"/>
                <w:color w:val="000000"/>
              </w:rPr>
              <w:t>应无条件配合复检，由此产生的相关费用由责任方承担。</w:t>
            </w:r>
          </w:p>
          <w:p>
            <w:pPr>
              <w:pStyle w:val="null3"/>
              <w:ind w:firstLine="880"/>
              <w:jc w:val="both"/>
            </w:pPr>
            <w:r>
              <w:rPr>
                <w:sz w:val="24"/>
                <w:b/>
              </w:rPr>
              <w:t>五、拟派服务人员</w:t>
            </w:r>
            <w:r>
              <w:rPr>
                <w:sz w:val="24"/>
                <w:b/>
                <w:color w:val="000000"/>
              </w:rPr>
              <w:t>要求</w:t>
            </w:r>
          </w:p>
          <w:p>
            <w:pPr>
              <w:pStyle w:val="null3"/>
              <w:ind w:firstLine="480"/>
              <w:jc w:val="both"/>
            </w:pPr>
            <w:r>
              <w:rPr>
                <w:sz w:val="24"/>
              </w:rPr>
              <w:t>1</w:t>
            </w:r>
            <w:r>
              <w:rPr>
                <w:sz w:val="24"/>
              </w:rPr>
              <w:t>、本项目拟派项目负责人和技术负责人各</w:t>
            </w:r>
            <w:r>
              <w:rPr>
                <w:sz w:val="24"/>
              </w:rPr>
              <w:t>1</w:t>
            </w:r>
            <w:r>
              <w:rPr>
                <w:sz w:val="24"/>
              </w:rPr>
              <w:t>名；其他主要技术人员</w:t>
            </w:r>
            <w:r>
              <w:rPr>
                <w:sz w:val="24"/>
              </w:rPr>
              <w:t>5</w:t>
            </w:r>
            <w:r>
              <w:rPr>
                <w:sz w:val="24"/>
              </w:rPr>
              <w:t>名或以上，熟悉和掌握相关法律、法规、规定及规章，具有相关工作经验。</w:t>
            </w:r>
          </w:p>
          <w:p>
            <w:pPr>
              <w:pStyle w:val="null3"/>
              <w:ind w:firstLine="480"/>
              <w:jc w:val="both"/>
            </w:pPr>
            <w:r>
              <w:rPr>
                <w:sz w:val="24"/>
              </w:rPr>
              <w:t>2</w:t>
            </w:r>
            <w:r>
              <w:rPr>
                <w:sz w:val="24"/>
              </w:rPr>
              <w:t>、</w:t>
            </w:r>
            <w:r>
              <w:rPr>
                <w:sz w:val="24"/>
              </w:rPr>
              <w:t>成交供应商</w:t>
            </w:r>
            <w:r>
              <w:rPr>
                <w:sz w:val="24"/>
              </w:rPr>
              <w:t>必须保持服务队伍的相对稳定并提供拟投入本项目的服务人员名单，</w:t>
            </w:r>
            <w:r>
              <w:rPr>
                <w:sz w:val="24"/>
              </w:rPr>
              <w:t>成交供应商</w:t>
            </w:r>
            <w:r>
              <w:rPr>
                <w:sz w:val="24"/>
              </w:rPr>
              <w:t>承诺的投入本项目人员不得随意更换，如遇特殊情况</w:t>
            </w:r>
            <w:r>
              <w:rPr>
                <w:sz w:val="24"/>
              </w:rPr>
              <w:t>成交供应商</w:t>
            </w:r>
            <w:r>
              <w:rPr>
                <w:sz w:val="24"/>
              </w:rPr>
              <w:t>需更换人员，</w:t>
            </w:r>
            <w:r>
              <w:rPr>
                <w:sz w:val="24"/>
              </w:rPr>
              <w:t>成交供应商</w:t>
            </w:r>
            <w:r>
              <w:rPr>
                <w:sz w:val="24"/>
              </w:rPr>
              <w:t>应向采购人书面提出申请，且更换人员不得低于原相应岗位的资历条件，未经采购人的同意不得擅自更换。</w:t>
            </w:r>
          </w:p>
          <w:p>
            <w:pPr>
              <w:pStyle w:val="null3"/>
              <w:ind w:firstLine="480"/>
              <w:jc w:val="both"/>
            </w:pPr>
            <w:r>
              <w:rPr>
                <w:sz w:val="24"/>
              </w:rPr>
              <w:t>3</w:t>
            </w:r>
            <w:r>
              <w:rPr>
                <w:sz w:val="24"/>
              </w:rPr>
              <w:t>、投入本项目的服务人员须为</w:t>
            </w:r>
            <w:r>
              <w:rPr>
                <w:sz w:val="24"/>
              </w:rPr>
              <w:t>成交供应商</w:t>
            </w:r>
            <w:r>
              <w:rPr>
                <w:sz w:val="24"/>
              </w:rPr>
              <w:t>单位人员，按有关规定与其签订劳动合同和购买社保等。如发生人身安全及其它事故，一切责任和经济补偿均由</w:t>
            </w:r>
            <w:r>
              <w:rPr>
                <w:sz w:val="24"/>
              </w:rPr>
              <w:t>成交供应商</w:t>
            </w:r>
            <w:r>
              <w:rPr>
                <w:sz w:val="24"/>
              </w:rPr>
              <w:t>负责。</w:t>
            </w:r>
          </w:p>
          <w:p>
            <w:pPr>
              <w:pStyle w:val="null3"/>
              <w:ind w:firstLine="240"/>
              <w:jc w:val="both"/>
            </w:pPr>
            <w:r>
              <w:rPr>
                <w:sz w:val="24"/>
              </w:rPr>
              <w:t>4</w:t>
            </w:r>
            <w:r>
              <w:rPr>
                <w:sz w:val="24"/>
              </w:rPr>
              <w:t>、如采购人认为</w:t>
            </w:r>
            <w:r>
              <w:rPr>
                <w:sz w:val="24"/>
              </w:rPr>
              <w:t>成交供应商</w:t>
            </w:r>
            <w:r>
              <w:rPr>
                <w:sz w:val="24"/>
              </w:rPr>
              <w:t>投入的工作人员数量、业务水平、专业配置等不能满足本项目实际工作需要时，有权要求</w:t>
            </w:r>
            <w:r>
              <w:rPr>
                <w:sz w:val="24"/>
              </w:rPr>
              <w:t>成交供应商</w:t>
            </w:r>
            <w:r>
              <w:rPr>
                <w:sz w:val="24"/>
              </w:rPr>
              <w:t>及时调配或增加符合资格要求的人员。</w:t>
            </w:r>
          </w:p>
          <w:p>
            <w:pPr>
              <w:pStyle w:val="null3"/>
              <w:ind w:firstLine="880"/>
              <w:jc w:val="both"/>
            </w:pPr>
            <w:r>
              <w:rPr>
                <w:sz w:val="24"/>
                <w:b/>
              </w:rPr>
              <w:t>六、项目保障措施</w:t>
            </w:r>
          </w:p>
          <w:p>
            <w:pPr>
              <w:pStyle w:val="null3"/>
              <w:ind w:firstLine="880"/>
              <w:jc w:val="both"/>
            </w:pPr>
            <w:r>
              <w:rPr>
                <w:sz w:val="24"/>
              </w:rPr>
              <w:t>投标人需提供项目实施的进度保障措施、质量保障措施、风险控制措施等内容。确保本项目能在工期要求范围内顺利实施、验收、交付。</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1.采购代理机构：本项目是指河源市新启项目咨询管理有限公司，负责整个采购活动的组织，依法负责编制和发布磋商文件，对磋商文件拥有最终的解释权，不以任何身份出任磋商小组成员。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连平县文化广电旅游体育局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采购机构代理服务收费标准：参照省物价局（计价格【2002】1980号）文规定进行收取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河源市新启项目咨询管理有限公司</w:t>
      </w:r>
      <w:r>
        <w:rPr/>
        <w:t>代收。具体操作要求详见</w:t>
      </w:r>
      <w:r>
        <w:rPr/>
        <w:t>河源市新启项目咨询管理有限公司</w:t>
      </w:r>
      <w:r>
        <w:rPr/>
        <w:t>有关指引，递交事宜请自行咨询</w:t>
      </w:r>
      <w:r>
        <w:rPr/>
        <w:t>河源市新启项目咨询管理有限公司</w:t>
      </w:r>
      <w:r>
        <w:rPr/>
        <w:t>；请各供应商在响应文件递交截止时间前按须知前附表规定的金额递交至</w:t>
      </w:r>
      <w:r>
        <w:rPr/>
        <w:t>河源市新启项目咨询管理有限公司</w:t>
      </w:r>
      <w:r>
        <w:rPr/>
        <w:t>，到账情况以开启时</w:t>
      </w:r>
      <w:r>
        <w:rPr/>
        <w:t>河源市新启项目咨询管理有限公司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王先生</w:t>
      </w:r>
    </w:p>
    <w:p>
      <w:pPr>
        <w:pStyle w:val="null3"/>
        <w:ind w:firstLine="480"/>
      </w:pPr>
      <w:r>
        <w:rPr/>
        <w:t>电话：</w:t>
      </w:r>
      <w:r>
        <w:rPr/>
        <w:t>0762-6743898</w:t>
      </w:r>
    </w:p>
    <w:p>
      <w:pPr>
        <w:pStyle w:val="null3"/>
        <w:ind w:firstLine="480"/>
      </w:pPr>
      <w:r>
        <w:rPr/>
        <w:t>传真：</w:t>
      </w:r>
      <w:r>
        <w:rPr/>
        <w:t>0762-6743898</w:t>
      </w:r>
    </w:p>
    <w:p>
      <w:pPr>
        <w:pStyle w:val="null3"/>
        <w:ind w:firstLine="480"/>
      </w:pPr>
      <w:r>
        <w:rPr/>
        <w:t>邮箱：</w:t>
      </w:r>
      <w:r>
        <w:rPr/>
        <w:t>315463802@qq.com</w:t>
      </w:r>
    </w:p>
    <w:p>
      <w:pPr>
        <w:pStyle w:val="null3"/>
        <w:ind w:firstLine="480"/>
      </w:pPr>
      <w:r>
        <w:rPr/>
        <w:t>地址：</w:t>
      </w:r>
      <w:r>
        <w:rPr/>
        <w:t>河源市连平县元善镇肖国排新村苑第一、二层</w:t>
      </w:r>
    </w:p>
    <w:p>
      <w:pPr>
        <w:pStyle w:val="null3"/>
        <w:ind w:firstLine="480"/>
      </w:pPr>
      <w:r>
        <w:rPr/>
        <w:t>邮编：</w:t>
      </w:r>
      <w:r>
        <w:rPr/>
        <w:t>517100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政府采购监督管理机构名称：连平县财政局政府采购监管股</w:t>
      </w:r>
    </w:p>
    <w:p>
      <w:pPr>
        <w:pStyle w:val="null3"/>
      </w:pPr>
      <w:r>
        <w:rPr/>
        <w:t>地 址：河源市连平县新城大道</w:t>
      </w:r>
    </w:p>
    <w:p>
      <w:pPr>
        <w:pStyle w:val="null3"/>
      </w:pPr>
      <w:r>
        <w:rPr/>
        <w:t>电 话：0762-4322035</w:t>
      </w:r>
    </w:p>
    <w:p>
      <w:pPr>
        <w:pStyle w:val="null3"/>
      </w:pPr>
      <w:r>
        <w:rPr/>
        <w:t>邮 编：517100</w:t>
      </w:r>
    </w:p>
    <w:p>
      <w:pPr>
        <w:pStyle w:val="null3"/>
      </w:pPr>
      <w:r>
        <w:rPr/>
        <w:t>传 真：0762-4322035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连平县陂头镇生态旅游示范区文化旅游基础设施建设项目检验检测费)：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河源市新启项目咨询管理有限公司</w:t>
      </w:r>
      <w:r>
        <w:rPr/>
        <w:t>统一对外发布。</w:t>
      </w:r>
    </w:p>
    <w:p>
      <w:pPr>
        <w:pStyle w:val="null3"/>
        <w:ind w:firstLine="480"/>
      </w:pPr>
      <w:r>
        <w:rPr/>
        <w:t>（2）对</w:t>
      </w:r>
      <w:r>
        <w:rPr/>
        <w:t>河源市新启项目咨询管理有限公司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采购包1（连平县陂头镇生态旅游示范区文化旅游基础设施建设项目检验检测费）：</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采购包1（连平县陂头镇生态旅游示范区文化旅游基础设施建设项目检验检测费）：</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提供承诺函（承诺函格式详见公告附件）</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提供承诺函（承诺函格式详见公告附件）</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提供承诺函（承诺函格式详见公告附件）</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承诺函（承诺函格式详见公告附件）】</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承诺函（承诺函格式详见公告附件）】</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法律、行政法规规定的其他条件：①单位负责人为同一人或者存在直接控股、管理关系的不同供应商，不得同时参加本采购项目（或采购包）投标（响应）。②为本项目提供整体设计、规范编制或者项目管理、监理等服务的供应商，不得再参与本项目投标（响应）；【提供声明函】</w:t>
            </w:r>
          </w:p>
        </w:tc>
      </w:tr>
      <w:tr>
        <w:tc>
          <w:tcPr>
            <w:tcW w:type="dxa" w:w="890"/>
          </w:tcPr>
          <w:p>
            <w:pPr>
              <w:pStyle w:val="null3"/>
            </w:pPr>
            <w:r>
              <w:rPr/>
              <w:t>8</w:t>
            </w:r>
          </w:p>
        </w:tc>
        <w:tc>
          <w:tcPr>
            <w:tcW w:type="dxa" w:w="3178"/>
          </w:tcPr>
          <w:p>
            <w:pPr>
              <w:pStyle w:val="null3"/>
            </w:pPr>
            <w:r>
              <w:rPr/>
              <w:t>具有市场监督管理部门或国家认证认可监督管理委员会或省级(或以上)质量技术监督部门颁发的 CMA计量认证资质认定证书</w:t>
            </w:r>
          </w:p>
        </w:tc>
        <w:tc>
          <w:tcPr>
            <w:tcW w:type="dxa" w:w="4238"/>
          </w:tcPr>
          <w:p>
            <w:pPr>
              <w:pStyle w:val="null3"/>
            </w:pPr>
            <w:r>
              <w:rPr/>
              <w:t>具有市场监督管理部门或国家认证认可监督管理委员会或省级(或以上)质量技术监督部门颁发的 CMA计量认证资质认定证书；（如为联合体响应的，联合体成员均需同时满足）</w:t>
            </w:r>
          </w:p>
        </w:tc>
      </w:tr>
      <w:tr>
        <w:tc>
          <w:tcPr>
            <w:tcW w:type="dxa" w:w="890"/>
          </w:tcPr>
          <w:p>
            <w:pPr>
              <w:pStyle w:val="null3"/>
            </w:pPr>
            <w:r>
              <w:rPr/>
              <w:t>9</w:t>
            </w:r>
          </w:p>
        </w:tc>
        <w:tc>
          <w:tcPr>
            <w:tcW w:type="dxa" w:w="3178"/>
          </w:tcPr>
          <w:p>
            <w:pPr>
              <w:pStyle w:val="null3"/>
            </w:pPr>
            <w:r>
              <w:rPr/>
              <w:t>具有建设行政主管部门颁发的建设工程质量检测机构资质证书且证书在有效期内，检测范围须包含：地基基础工程检测和见证取样检测；或根据《住房和城乡建设部关于印发《建设工程质量检测机构资质标准》的通知》（建质规〔2023〕1 号）具有建设行政主管部门颁发的建设工程质量检测机构综合资质证书或专项资质证书且证书在有效期内，专项资质证书须包含：地基基础，建筑材料及构配件，市政工程材料</w:t>
            </w:r>
          </w:p>
        </w:tc>
        <w:tc>
          <w:tcPr>
            <w:tcW w:type="dxa" w:w="4238"/>
          </w:tcPr>
          <w:p>
            <w:pPr>
              <w:pStyle w:val="null3"/>
            </w:pPr>
            <w:r>
              <w:rPr/>
              <w:t>具有建设行政主管部门颁发的建设工程质量检测机构资质证书且证书在有效期内，检测范围须包含：地基基础工程检测和见证取样检测；或根据《住房和城乡建设部关于印发《建设工程质量检测机构资质标准》的通知》（建质规〔2023〕1 号）具有建设行政主管部门颁发的建设工程质量检测机构综合资质证书或专项资质证书且证书在有效期内，专项资质证书须包含：地基基础，建筑材料及构配件，市政工程材料；（如为联合体响应的，联合体成员同时满足或分别满足以上检测范围要求的检测内容）</w:t>
            </w:r>
          </w:p>
        </w:tc>
      </w:tr>
      <w:tr>
        <w:tc>
          <w:tcPr>
            <w:tcW w:type="dxa" w:w="890"/>
          </w:tcPr>
          <w:p>
            <w:pPr>
              <w:pStyle w:val="null3"/>
            </w:pPr>
            <w:r>
              <w:rPr/>
              <w:t>10</w:t>
            </w:r>
          </w:p>
        </w:tc>
        <w:tc>
          <w:tcPr>
            <w:tcW w:type="dxa" w:w="3178"/>
          </w:tcPr>
          <w:p>
            <w:pPr>
              <w:pStyle w:val="null3"/>
            </w:pPr>
            <w:r>
              <w:rPr/>
              <w:t>具备符合《河源市住房和城乡建设关于进一步加强河源市房屋建筑和市政基础设施工程质量检测监管工作的通知》(河住建通〔2022〕3号)要求，且在河源市住房和城乡建设局网站公布名单范围的检测企业（提供已入名单并公示结果为有效截图）</w:t>
            </w:r>
          </w:p>
        </w:tc>
        <w:tc>
          <w:tcPr>
            <w:tcW w:type="dxa" w:w="4238"/>
          </w:tcPr>
          <w:p>
            <w:pPr>
              <w:pStyle w:val="null3"/>
            </w:pPr>
            <w:r>
              <w:rPr/>
              <w:t>具备符合《河源市住房和城乡建设关于进一步加强河源市房屋建筑和市政基础设施工程质量检测监管工作的通知》(河住建通〔2022〕3号)要求，且在河源市住房和城乡建设局网站公布名单范围的检测企业（提供已入名单并公示结果为有效截图）；（如为联合体响应的，联合体成员均需同时满足）</w:t>
            </w:r>
          </w:p>
        </w:tc>
      </w:tr>
      <w:tr>
        <w:tc>
          <w:tcPr>
            <w:tcW w:type="dxa" w:w="890"/>
          </w:tcPr>
          <w:p>
            <w:pPr>
              <w:pStyle w:val="null3"/>
            </w:pPr>
            <w:r>
              <w:rPr/>
              <w:t>11</w:t>
            </w:r>
          </w:p>
        </w:tc>
        <w:tc>
          <w:tcPr>
            <w:tcW w:type="dxa" w:w="3178"/>
          </w:tcPr>
          <w:p>
            <w:pPr>
              <w:pStyle w:val="null3"/>
            </w:pPr>
            <w:r>
              <w:rPr/>
              <w:t>本项目接受联合体响应</w:t>
            </w:r>
          </w:p>
        </w:tc>
        <w:tc>
          <w:tcPr>
            <w:tcW w:type="dxa" w:w="4238"/>
          </w:tcPr>
          <w:p>
            <w:pPr>
              <w:pStyle w:val="null3"/>
            </w:pPr>
            <w:r>
              <w:rPr/>
              <w:t>本项目接受联合体响应。①只接受最多2家单位组成的联合体参与响应，且联合体响应的签订联合体响应协议，联合体协议应明确约定各方拟承担的工作和责任。②如为联合体响应的，供应商资格条件除特别要求外的其他要求联合体双方均需满足。③联合体各方签订联合体协议书后，不得再以自己名义单独投标响应或加入其他联合体在同一标段中进行投标响应，如有违反，其投标响应和与此有关的联合体的投标响应将被拒绝</w:t>
            </w:r>
          </w:p>
        </w:tc>
      </w:tr>
      <w:tr>
        <w:tc>
          <w:tcPr>
            <w:tcW w:type="dxa" w:w="890"/>
          </w:tcPr>
          <w:p>
            <w:pPr>
              <w:pStyle w:val="null3"/>
            </w:pPr>
            <w:r>
              <w:rPr/>
              <w:t>12</w:t>
            </w:r>
          </w:p>
        </w:tc>
        <w:tc>
          <w:tcPr>
            <w:tcW w:type="dxa" w:w="3178"/>
          </w:tcPr>
          <w:p>
            <w:pPr>
              <w:pStyle w:val="null3"/>
            </w:pPr>
            <w:r>
              <w:rPr/>
              <w:t>本采购包专门面向中小企业采购</w:t>
            </w:r>
          </w:p>
        </w:tc>
        <w:tc>
          <w:tcPr>
            <w:tcW w:type="dxa" w:w="4238"/>
          </w:tcPr>
          <w:p>
            <w:pPr>
              <w:pStyle w:val="null3"/>
            </w:pPr>
            <w:r>
              <w:rPr/>
              <w:t>本采购项目预算专门面向中小企业采购；【提供全部服务的供应商的《中小企业声明函》或由监狱管理局、戒毒管理局(含新疆生产建设兵团)出具的供应商属于监狱企业的证明文件或《残疾人福利性单位声明函》】</w:t>
            </w:r>
          </w:p>
        </w:tc>
      </w:tr>
    </w:tbl>
    <w:p>
      <w:pPr>
        <w:pStyle w:val="null3"/>
        <w:ind w:firstLine="480"/>
      </w:pPr>
      <w:r>
        <w:rPr/>
        <w:t>表二符合性审查表：</w:t>
      </w:r>
    </w:p>
    <w:p>
      <w:pPr>
        <w:pStyle w:val="null3"/>
      </w:pPr>
      <w:r>
        <w:rPr/>
        <w:t>采购包1（连平县陂头镇生态旅游示范区文化旅游基础设施建设项目检验检测费）：</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响应文件签字授权</w:t>
            </w:r>
          </w:p>
        </w:tc>
        <w:tc>
          <w:tcPr>
            <w:tcW w:type="dxa" w:w="4238"/>
          </w:tcPr>
          <w:p>
            <w:pPr>
              <w:pStyle w:val="null3"/>
            </w:pPr>
            <w:r>
              <w:rPr/>
              <w:t>响应文件签字人非法定代表人的须提供法定代表人的有效授权</w:t>
            </w:r>
          </w:p>
        </w:tc>
      </w:tr>
      <w:tr>
        <w:tc>
          <w:tcPr>
            <w:tcW w:type="dxa" w:w="890"/>
          </w:tcPr>
          <w:p>
            <w:pPr>
              <w:pStyle w:val="null3"/>
            </w:pPr>
            <w:r>
              <w:rPr/>
              <w:t>2</w:t>
            </w:r>
          </w:p>
        </w:tc>
        <w:tc>
          <w:tcPr>
            <w:tcW w:type="dxa" w:w="3178"/>
          </w:tcPr>
          <w:p>
            <w:pPr>
              <w:pStyle w:val="null3"/>
            </w:pPr>
            <w:r>
              <w:rPr/>
              <w:t>响应有效期</w:t>
            </w:r>
          </w:p>
        </w:tc>
        <w:tc>
          <w:tcPr>
            <w:tcW w:type="dxa" w:w="4238"/>
          </w:tcPr>
          <w:p>
            <w:pPr>
              <w:pStyle w:val="null3"/>
            </w:pPr>
            <w:r>
              <w:rPr/>
              <w:t>响应有效期符合采购文件的要求</w:t>
            </w:r>
          </w:p>
        </w:tc>
      </w:tr>
      <w:tr>
        <w:tc>
          <w:tcPr>
            <w:tcW w:type="dxa" w:w="890"/>
          </w:tcPr>
          <w:p>
            <w:pPr>
              <w:pStyle w:val="null3"/>
            </w:pPr>
            <w:r>
              <w:rPr/>
              <w:t>3</w:t>
            </w:r>
          </w:p>
        </w:tc>
        <w:tc>
          <w:tcPr>
            <w:tcW w:type="dxa" w:w="3178"/>
          </w:tcPr>
          <w:p>
            <w:pPr>
              <w:pStyle w:val="null3"/>
            </w:pPr>
            <w:r>
              <w:rPr/>
              <w:t>响应文件的签署及盖章</w:t>
            </w:r>
          </w:p>
        </w:tc>
        <w:tc>
          <w:tcPr>
            <w:tcW w:type="dxa" w:w="4238"/>
          </w:tcPr>
          <w:p>
            <w:pPr>
              <w:pStyle w:val="null3"/>
            </w:pPr>
            <w:r>
              <w:rPr/>
              <w:t>响应文件是符合采购文件的要求</w:t>
            </w:r>
          </w:p>
        </w:tc>
      </w:tr>
      <w:tr>
        <w:tc>
          <w:tcPr>
            <w:tcW w:type="dxa" w:w="890"/>
          </w:tcPr>
          <w:p>
            <w:pPr>
              <w:pStyle w:val="null3"/>
            </w:pPr>
            <w:r>
              <w:rPr/>
              <w:t>4</w:t>
            </w:r>
          </w:p>
        </w:tc>
        <w:tc>
          <w:tcPr>
            <w:tcW w:type="dxa" w:w="3178"/>
          </w:tcPr>
          <w:p>
            <w:pPr>
              <w:pStyle w:val="null3"/>
            </w:pPr>
            <w:r>
              <w:rPr/>
              <w:t>响应情况</w:t>
            </w:r>
          </w:p>
        </w:tc>
        <w:tc>
          <w:tcPr>
            <w:tcW w:type="dxa" w:w="4238"/>
          </w:tcPr>
          <w:p>
            <w:pPr>
              <w:pStyle w:val="null3"/>
            </w:pPr>
            <w:r>
              <w:rPr/>
              <w:t>符合★号条款，商务和技术响应内容没有严重偏离采购需求</w:t>
            </w:r>
          </w:p>
        </w:tc>
      </w:tr>
      <w:tr>
        <w:tc>
          <w:tcPr>
            <w:tcW w:type="dxa" w:w="890"/>
          </w:tcPr>
          <w:p>
            <w:pPr>
              <w:pStyle w:val="null3"/>
            </w:pPr>
            <w:r>
              <w:rPr/>
              <w:t>5</w:t>
            </w:r>
          </w:p>
        </w:tc>
        <w:tc>
          <w:tcPr>
            <w:tcW w:type="dxa" w:w="3178"/>
          </w:tcPr>
          <w:p>
            <w:pPr>
              <w:pStyle w:val="null3"/>
            </w:pPr>
            <w:r>
              <w:rPr/>
              <w:t>报价</w:t>
            </w:r>
          </w:p>
        </w:tc>
        <w:tc>
          <w:tcPr>
            <w:tcW w:type="dxa" w:w="4238"/>
          </w:tcPr>
          <w:p>
            <w:pPr>
              <w:pStyle w:val="null3"/>
            </w:pPr>
            <w:r>
              <w:rPr/>
              <w:t>（1）报价是固定不变价；（2）报价无明显不合理或低于合理成本价；（3）报价没有超出采购预算</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采购包1(连平县陂头镇生态旅游示范区文化旅游基础设施建设项目检验检测费):</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技术部分50.0分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对项目工作的理解 (10.0分)</w:t>
            </w:r>
          </w:p>
        </w:tc>
        <w:tc>
          <w:tcPr>
            <w:tcW w:type="dxa" w:w="5076"/>
          </w:tcPr>
          <w:p>
            <w:pPr>
              <w:pStyle w:val="null3"/>
              <w:jc w:val="left"/>
            </w:pPr>
            <w:r>
              <w:rPr/>
              <w:t>根据供应商对项目工作内容的理解程度等进行评分： （1）理解到位，分析详实，建议或方案科学合理，切实可行，完全满足或优于采购需求，得10分； （2）理解基本到位，分析部分详实，建议或方案合理性一般、可行性一般，部分满足采购需求，得8分； （3）理解未到位，分析欠详实，建议或方案合理性欠缺、可行性较差，难以满足采购需求，得6分； （4）理解不到位，分析不详实，建议或方案合理性可行性差，无法满足采购需求，得4分； （5）未提供方案或方案未达到以上要求的，得0分。</w:t>
            </w:r>
          </w:p>
        </w:tc>
      </w:tr>
      <w:tr>
        <w:tc>
          <w:tcPr>
            <w:tcW w:type="dxa" w:w="922"/>
            <w:gridSpan w:val="2"/>
            <w:vMerge/>
          </w:tcPr>
          <w:p/>
        </w:tc>
        <w:tc>
          <w:tcPr>
            <w:tcW w:type="dxa" w:w="2307"/>
          </w:tcPr>
          <w:p>
            <w:pPr>
              <w:pStyle w:val="null3"/>
              <w:jc w:val="left"/>
            </w:pPr>
            <w:r>
              <w:rPr/>
              <w:t>质量保障制度和措施 (10.0分)</w:t>
            </w:r>
          </w:p>
        </w:tc>
        <w:tc>
          <w:tcPr>
            <w:tcW w:type="dxa" w:w="5076"/>
          </w:tcPr>
          <w:p>
            <w:pPr>
              <w:pStyle w:val="null3"/>
              <w:jc w:val="left"/>
            </w:pPr>
            <w:r>
              <w:rPr/>
              <w:t>根据供应商针对本项目的质量保证措施进行评审： （1）检测质量目标明确，质量保证措施控制措施合理，实施方法可行，方式科学，得10分； （2）检测质量目标较明确，质量保证措施控制措施较合理，实施方法较可行，方式较科学，得8分； （3）检测质量目标基本明确，质量保证措施控制措施基本可行，实施方法基本可行，得6分； （4）检测质量目标不明确，质量保证措施控制措施基本不可行，实施方法基本不可行，得4分； （5）未提供方案或方案未到以上要求的，得0分。</w:t>
            </w:r>
          </w:p>
        </w:tc>
      </w:tr>
      <w:tr>
        <w:tc>
          <w:tcPr>
            <w:tcW w:type="dxa" w:w="922"/>
            <w:gridSpan w:val="2"/>
            <w:vMerge/>
          </w:tcPr>
          <w:p/>
        </w:tc>
        <w:tc>
          <w:tcPr>
            <w:tcW w:type="dxa" w:w="2307"/>
          </w:tcPr>
          <w:p>
            <w:pPr>
              <w:pStyle w:val="null3"/>
              <w:jc w:val="left"/>
            </w:pPr>
            <w:r>
              <w:rPr/>
              <w:t>安全、文明作业方案 (10.0分)</w:t>
            </w:r>
          </w:p>
        </w:tc>
        <w:tc>
          <w:tcPr>
            <w:tcW w:type="dxa" w:w="5076"/>
          </w:tcPr>
          <w:p>
            <w:pPr>
              <w:pStyle w:val="null3"/>
              <w:jc w:val="left"/>
            </w:pPr>
            <w:r>
              <w:rPr/>
              <w:t>根据供应商的安全、文明作业方案的合理性、科学性、完整性及可操作性等方面进行评审： （1）方案科学详尽，针对性强，可行性强，得10分； （2）方案较为完整，针对性一般，可行性一般，得8分； （3）方案一般，针对较差，可行性较差，得6分； （4） 方案不完成，针对行差，可行性差，得4分； （5）未提供方案或方案未到以上要求的，得0分。</w:t>
            </w:r>
          </w:p>
        </w:tc>
      </w:tr>
      <w:tr>
        <w:tc>
          <w:tcPr>
            <w:tcW w:type="dxa" w:w="922"/>
            <w:gridSpan w:val="2"/>
            <w:vMerge/>
          </w:tcPr>
          <w:p/>
        </w:tc>
        <w:tc>
          <w:tcPr>
            <w:tcW w:type="dxa" w:w="2307"/>
          </w:tcPr>
          <w:p>
            <w:pPr>
              <w:pStyle w:val="null3"/>
              <w:jc w:val="left"/>
            </w:pPr>
            <w:r>
              <w:rPr/>
              <w:t>检测技术方案 (20.0分)</w:t>
            </w:r>
          </w:p>
        </w:tc>
        <w:tc>
          <w:tcPr>
            <w:tcW w:type="dxa" w:w="5076"/>
          </w:tcPr>
          <w:p>
            <w:pPr>
              <w:pStyle w:val="null3"/>
              <w:jc w:val="left"/>
            </w:pPr>
            <w:r>
              <w:rPr/>
              <w:t>根据供应商提供的检测技术方案进行评审： （1）提供的方案检测工作思路清晰，对项目特点把握准确；检测方案具体，内容齐全，能满足本工程提出的所有检测内容；检测方法针对性强，工艺先进、检测措施切实可行，能较好指导具体检测工作并确保安全；对工程特点、难点分析深入、深刻；结合本项目的特点，提出该项目应注意的问题以及合理可行的解决方法；准确抓住本项目难点，提出科学合理的解决措施；质量控制方案满足本项目建设要求；质量控制重点分析到位、明确；质量目标分解、规划合理，质量控制体系健全，质量控制措施有效可靠，控制手段先进完善。得20分； （2）提供的方案检测工作思路清晰，对项目特点把握准确；检测方案具体，内容齐全，能满足本工程提出的所有检测内容；检测方法针对性强，工艺先进、检测措施切实可行，能较好指导具体检测工作并确保安全；对工程特点、难点分析深入、深刻；结合本项目的特点，提出该项目应注意的问题以及合理可行的解决方法；准确抓住本项目难点，提出科学合理的解决措施。得15分； （3）提供的方案检测工作思路不清晰，对项目特点把握不准确；检测方案不够深入，内容齐全，能满足本工程提出的所有检测内容；检测方法无针对性，工艺落伍、检测措施不可行，能较好指导具体检测工作并确保安全。得10分； （4）提供的方案检测工作思路不清晰，对项目特点把握不准确；检测方案不深入，内容不齐全，不能满足本工程提出的所有检测内容；检测方法无针对性，工艺落伍、检测措施不可行，无法指导具体检测工作并确保安全。得5分； （5）无提供不得分。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(2.0分)</w:t>
            </w:r>
          </w:p>
        </w:tc>
        <w:tc>
          <w:tcPr>
            <w:tcW w:type="dxa" w:w="5076"/>
          </w:tcPr>
          <w:p>
            <w:pPr>
              <w:pStyle w:val="null3"/>
              <w:jc w:val="left"/>
            </w:pPr>
            <w:r>
              <w:rPr/>
              <w:t>响应供应商提供2021年1月1日至今（时间以合同为准）承接的工程检测项目业绩，每提供一个业绩得0.5分，本项最高得2分。 注：须提供业绩合同扫描件作为评审依据，无提供或提供的证明材料不清晰或专家无法辨别的不得分。</w:t>
            </w:r>
          </w:p>
        </w:tc>
      </w:tr>
      <w:tr>
        <w:tc>
          <w:tcPr>
            <w:tcW w:type="dxa" w:w="922"/>
            <w:gridSpan w:val="2"/>
            <w:vMerge/>
          </w:tcPr>
          <w:p/>
        </w:tc>
        <w:tc>
          <w:tcPr>
            <w:tcW w:type="dxa" w:w="2307"/>
          </w:tcPr>
          <w:p>
            <w:pPr>
              <w:pStyle w:val="null3"/>
              <w:jc w:val="left"/>
            </w:pPr>
            <w:r>
              <w:rPr/>
              <w:t>拟投入的团队实力情况 (13.0分)</w:t>
            </w:r>
          </w:p>
        </w:tc>
        <w:tc>
          <w:tcPr>
            <w:tcW w:type="dxa" w:w="5076"/>
          </w:tcPr>
          <w:p>
            <w:pPr>
              <w:pStyle w:val="null3"/>
              <w:jc w:val="left"/>
            </w:pPr>
            <w:r>
              <w:rPr/>
              <w:t>（1）拟派技术负责人： 具有工程类中级工程师职称的得0.5分，具有工程类专业高级工程师职称得1分；同时具有有效期内的省级（或以上）建设工程质量安全检测和鉴定协会或省级（或以上）部门颁发的检测鉴定培训合格证（专业：桩身完整性检测（低应变）、桩身完整性检测（钻孔取芯[编审]）、混凝土结构实体）得1分；本小项最高得2分。 （2）拟派检测技术人员：（项目负责人、技术负责人除外) 1）具有二级注册结构工程师注册执业证书得1分； 2）具有有效期内的省级（或以上）建设工程质量安全检测和鉴定协会或省级（或以上）部门颁发的检测鉴定培训合格证，检测专业包括：①地基与基桩承载力检测（静载荷实验）、②桩身完整性检测（钻孔取芯【机长】）、③桩身完整性检测（钻孔取芯【编审】）、④基桩承载力与完整性检测（高应变）⑤岩土工程原位测试、⑥道路工程、⑦混凝土结构实体、⑧建筑门窗检测（三性）、⑨民用建筑室内环境检测、⑩常用非金属材料，每人每提供一个类别得1分，同一个人、同一个证书具备多种类别不重复计算，本小项最高得10分。 注：本项最高得13分，须提供对应人员相关证书及2025年4月-2025年6月任意一个月在响应单位购买的社保证明，无提供或提供证明材料不清晰或评审专家无法辨别的不得分。</w:t>
            </w:r>
          </w:p>
        </w:tc>
      </w:tr>
      <w:tr>
        <w:tc>
          <w:tcPr>
            <w:tcW w:type="dxa" w:w="922"/>
            <w:gridSpan w:val="2"/>
            <w:vMerge/>
          </w:tcPr>
          <w:p/>
        </w:tc>
        <w:tc>
          <w:tcPr>
            <w:tcW w:type="dxa" w:w="2307"/>
          </w:tcPr>
          <w:p>
            <w:pPr>
              <w:pStyle w:val="null3"/>
              <w:jc w:val="left"/>
            </w:pPr>
            <w:r>
              <w:rPr/>
              <w:t>项目负责人 (3.0分)</w:t>
            </w:r>
          </w:p>
        </w:tc>
        <w:tc>
          <w:tcPr>
            <w:tcW w:type="dxa" w:w="5076"/>
          </w:tcPr>
          <w:p>
            <w:pPr>
              <w:pStyle w:val="null3"/>
              <w:jc w:val="left"/>
            </w:pPr>
            <w:r>
              <w:rPr/>
              <w:t>拟派项目负责人：项目负责人具有工程类中级工程师职称的得0.5分，具有工程类高级工程师职称的得1分，具有工程类正高级工程师职称的得2分；同时具有有效期内的检测鉴定培训合格证，检测专业包括：桩身完整性检测（低应变）、混凝土结构实体、建筑节能工程检测的得1分； 注：本项最高得3分。须提供人员相关证书及2025年4月-2025年6月任意一个月在响应单位购买的社保证明复印件，无提供或提供证明材料不清晰或评审专家无法辨别的不得分。</w:t>
            </w:r>
          </w:p>
        </w:tc>
      </w:tr>
      <w:tr>
        <w:tc>
          <w:tcPr>
            <w:tcW w:type="dxa" w:w="922"/>
            <w:gridSpan w:val="2"/>
            <w:vMerge/>
          </w:tcPr>
          <w:p/>
        </w:tc>
        <w:tc>
          <w:tcPr>
            <w:tcW w:type="dxa" w:w="2307"/>
          </w:tcPr>
          <w:p>
            <w:pPr>
              <w:pStyle w:val="null3"/>
              <w:jc w:val="left"/>
            </w:pPr>
            <w:r>
              <w:rPr/>
              <w:t>拟投入本项目设备情况 (12.0分)</w:t>
            </w:r>
          </w:p>
        </w:tc>
        <w:tc>
          <w:tcPr>
            <w:tcW w:type="dxa" w:w="5076"/>
          </w:tcPr>
          <w:p>
            <w:pPr>
              <w:pStyle w:val="null3"/>
              <w:jc w:val="left"/>
            </w:pPr>
            <w:r>
              <w:rPr/>
              <w:t>根据响应供应商拟投入本项目的设备情况进行评审： （1）检测机构静载试验设备（50至630吨量程液压千斤顶）在河源市监管平台备案的设备每提供一台得2分，最高得6分； （2）检测机构静载试验的设备（全自动静载测试仪）在河源市监管平台备案的设备每提供一台得2分，最高得4分； （3）检测机构低应法检测的设备在河源市监管平台备案的设备每提供一台得1分，最高得2分； 注：提供设备在备案平台的备案截图，不提供或提供证明材料不清晰或评审专家无法辨别的不得分。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120" w:after="120"/>
        <w:ind w:firstLine="128"/>
      </w:pPr>
      <w:r>
        <w:rPr>
          <w:sz w:val="24"/>
          <w:color w:val="000000"/>
        </w:rPr>
        <w:t>合同编号：</w:t>
      </w:r>
    </w:p>
    <w:p>
      <w:pPr>
        <w:pStyle w:val="null3"/>
        <w:ind w:firstLine="880"/>
        <w:jc w:val="both"/>
      </w:pPr>
      <w:r>
        <w:rPr>
          <w:sz w:val="44"/>
          <w:b/>
          <w:color w:val="000000"/>
        </w:rPr>
        <w:t>市（县、区）政府采购</w:t>
      </w:r>
    </w:p>
    <w:p>
      <w:pPr>
        <w:pStyle w:val="null3"/>
        <w:ind w:firstLine="880"/>
        <w:jc w:val="center"/>
      </w:pPr>
      <w:r>
        <w:rPr>
          <w:sz w:val="44"/>
          <w:b/>
          <w:color w:val="000000"/>
        </w:rPr>
        <w:t>合</w:t>
      </w:r>
      <w:r>
        <w:rPr>
          <w:sz w:val="44"/>
          <w:b/>
          <w:color w:val="000000"/>
        </w:rPr>
        <w:t>同</w:t>
      </w:r>
      <w:r>
        <w:rPr>
          <w:sz w:val="44"/>
          <w:b/>
          <w:color w:val="000000"/>
        </w:rPr>
        <w:t>书</w:t>
      </w:r>
    </w:p>
    <w:p>
      <w:pPr>
        <w:pStyle w:val="null3"/>
        <w:ind w:firstLine="880"/>
        <w:jc w:val="center"/>
      </w:pPr>
      <w:r>
        <w:rPr>
          <w:sz w:val="44"/>
          <w:b/>
          <w:color w:val="000000"/>
        </w:rPr>
        <w:t>（服务</w:t>
      </w:r>
      <w:r>
        <w:rPr>
          <w:sz w:val="44"/>
          <w:b/>
          <w:color w:val="000000"/>
        </w:rPr>
        <w:t>类）</w:t>
      </w:r>
    </w:p>
    <w:tbl>
      <w:tblPr>
        <w:tblW w:w="0" w:type="auto"/>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880"/>
              <w:jc w:val="both"/>
            </w:pPr>
            <w:r>
              <w:rPr>
                <w:sz w:val="32"/>
                <w:b/>
                <w:color w:val="000000"/>
              </w:rPr>
              <w:t>采购编号：</w:t>
            </w:r>
            <w:r>
              <w:rPr>
                <w:sz w:val="24"/>
                <w:b/>
                <w:u w:val="single"/>
              </w:rPr>
              <w:t xml:space="preserve">                          </w:t>
            </w:r>
            <w:r>
              <w:rPr>
                <w:sz w:val="24"/>
                <w:b/>
              </w:rPr>
              <w:t xml:space="preserve">           </w:t>
            </w: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880"/>
              <w:jc w:val="both"/>
            </w:pP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32"/>
                <w:b/>
                <w:color w:val="000000"/>
              </w:rPr>
              <w:t>项目名称：</w:t>
            </w:r>
            <w:r>
              <w:rPr>
                <w:sz w:val="24"/>
                <w:b/>
                <w:u w:val="single"/>
              </w:rPr>
              <w:t xml:space="preserve">                           </w:t>
            </w: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880"/>
              <w:jc w:val="both"/>
            </w:pPr>
          </w:p>
        </w:tc>
      </w:tr>
    </w:tbl>
    <w:p>
      <w:pPr>
        <w:pStyle w:val="null3"/>
        <w:jc w:val="both"/>
      </w:pPr>
      <w:r>
        <w:rPr>
          <w:sz w:val="28"/>
          <w:b/>
          <w:color w:val="000000"/>
        </w:rPr>
        <w:t>注：本合同仅为合同的参考文本，合同签订双方可根据项目的具体要求进行修订。</w:t>
      </w:r>
    </w:p>
    <w:p>
      <w:pPr>
        <w:pStyle w:val="null3"/>
        <w:ind w:firstLine="880"/>
        <w:jc w:val="both"/>
      </w:pPr>
      <w:r>
        <w:rPr>
          <w:sz w:val="24"/>
          <w:b/>
          <w:color w:val="000000"/>
        </w:rPr>
        <w:t>甲</w:t>
      </w:r>
      <w:r>
        <w:rPr>
          <w:sz w:val="24"/>
          <w:b/>
          <w:color w:val="000000"/>
        </w:rPr>
        <w:t xml:space="preserve">    </w:t>
      </w:r>
      <w:r>
        <w:rPr>
          <w:sz w:val="24"/>
          <w:b/>
          <w:color w:val="000000"/>
        </w:rPr>
        <w:t>方：</w:t>
      </w:r>
      <w:r>
        <w:rPr>
          <w:b/>
          <w:u w:val="single"/>
        </w:rPr>
        <w:t xml:space="preserve">                 </w:t>
      </w:r>
    </w:p>
    <w:p>
      <w:pPr>
        <w:pStyle w:val="null3"/>
      </w:pPr>
      <w:r>
        <w:rPr/>
        <w:t xml:space="preserve"> </w:t>
      </w:r>
    </w:p>
    <w:p>
      <w:pPr>
        <w:pStyle w:val="null3"/>
        <w:ind w:firstLine="880"/>
        <w:jc w:val="both"/>
      </w:pPr>
      <w:r>
        <w:rPr>
          <w:sz w:val="24"/>
          <w:color w:val="000000"/>
        </w:rPr>
        <w:t>电</w:t>
      </w:r>
      <w:r>
        <w:rPr>
          <w:sz w:val="24"/>
          <w:color w:val="000000"/>
        </w:rPr>
        <w:t xml:space="preserve">    </w:t>
      </w:r>
      <w:r>
        <w:rPr>
          <w:sz w:val="24"/>
          <w:color w:val="000000"/>
        </w:rPr>
        <w:t>话：</w:t>
      </w:r>
      <w:r>
        <w:rPr>
          <w:sz w:val="24"/>
          <w:color w:val="000000"/>
        </w:rPr>
        <w:t xml:space="preserve">              </w:t>
      </w:r>
    </w:p>
    <w:p>
      <w:pPr>
        <w:pStyle w:val="null3"/>
        <w:ind w:firstLine="880"/>
        <w:jc w:val="both"/>
      </w:pPr>
      <w:r>
        <w:rPr>
          <w:sz w:val="24"/>
          <w:color w:val="000000"/>
        </w:rPr>
        <w:t>传</w:t>
      </w:r>
      <w:r>
        <w:rPr>
          <w:sz w:val="24"/>
          <w:color w:val="000000"/>
        </w:rPr>
        <w:t xml:space="preserve">  </w:t>
      </w:r>
      <w:r>
        <w:rPr>
          <w:sz w:val="24"/>
          <w:color w:val="000000"/>
        </w:rPr>
        <w:t>真：</w:t>
      </w:r>
      <w:r>
        <w:rPr>
          <w:sz w:val="24"/>
          <w:color w:val="000000"/>
        </w:rPr>
        <w:t xml:space="preserve">           </w:t>
      </w:r>
    </w:p>
    <w:p>
      <w:pPr>
        <w:pStyle w:val="null3"/>
        <w:ind w:firstLine="880"/>
        <w:jc w:val="both"/>
      </w:pPr>
      <w:r>
        <w:rPr>
          <w:sz w:val="24"/>
          <w:color w:val="000000"/>
        </w:rPr>
        <w:t>地</w:t>
      </w:r>
      <w:r>
        <w:rPr>
          <w:sz w:val="24"/>
          <w:color w:val="000000"/>
        </w:rPr>
        <w:t xml:space="preserve">  </w:t>
      </w:r>
      <w:r>
        <w:rPr>
          <w:sz w:val="24"/>
          <w:color w:val="000000"/>
        </w:rPr>
        <w:t>址：</w:t>
      </w:r>
    </w:p>
    <w:p>
      <w:pPr>
        <w:pStyle w:val="null3"/>
        <w:ind w:firstLine="880"/>
        <w:jc w:val="both"/>
      </w:pPr>
      <w:r>
        <w:rPr>
          <w:sz w:val="24"/>
          <w:b/>
          <w:color w:val="000000"/>
        </w:rPr>
        <w:t>乙</w:t>
      </w:r>
      <w:r>
        <w:rPr>
          <w:sz w:val="24"/>
          <w:b/>
          <w:color w:val="000000"/>
        </w:rPr>
        <w:t xml:space="preserve">    </w:t>
      </w:r>
      <w:r>
        <w:rPr>
          <w:sz w:val="24"/>
          <w:b/>
          <w:color w:val="000000"/>
        </w:rPr>
        <w:t>方：</w:t>
      </w:r>
      <w:r>
        <w:rPr>
          <w:sz w:val="24"/>
          <w:b/>
          <w:u w:val="single"/>
        </w:rPr>
        <w:t xml:space="preserve">                  </w:t>
      </w:r>
    </w:p>
    <w:p>
      <w:pPr>
        <w:pStyle w:val="null3"/>
        <w:ind w:firstLine="880"/>
        <w:jc w:val="both"/>
      </w:pPr>
      <w:r>
        <w:rPr>
          <w:sz w:val="24"/>
          <w:color w:val="000000"/>
        </w:rPr>
        <w:t>电</w:t>
      </w:r>
      <w:r>
        <w:rPr>
          <w:sz w:val="24"/>
          <w:color w:val="000000"/>
        </w:rPr>
        <w:t xml:space="preserve">    </w:t>
      </w:r>
      <w:r>
        <w:rPr>
          <w:sz w:val="24"/>
          <w:color w:val="000000"/>
        </w:rPr>
        <w:t>话：</w:t>
      </w:r>
      <w:r>
        <w:rPr>
          <w:sz w:val="24"/>
          <w:color w:val="000000"/>
        </w:rPr>
        <w:t xml:space="preserve">                </w:t>
      </w:r>
    </w:p>
    <w:p>
      <w:pPr>
        <w:pStyle w:val="null3"/>
        <w:ind w:firstLine="880"/>
        <w:jc w:val="both"/>
      </w:pPr>
      <w:r>
        <w:rPr>
          <w:sz w:val="24"/>
          <w:color w:val="000000"/>
        </w:rPr>
        <w:t>传</w:t>
      </w:r>
      <w:r>
        <w:rPr>
          <w:sz w:val="24"/>
          <w:color w:val="000000"/>
        </w:rPr>
        <w:t xml:space="preserve">  </w:t>
      </w:r>
      <w:r>
        <w:rPr>
          <w:sz w:val="24"/>
          <w:color w:val="000000"/>
        </w:rPr>
        <w:t>真：</w:t>
      </w:r>
      <w:r>
        <w:rPr>
          <w:sz w:val="24"/>
          <w:color w:val="000000"/>
        </w:rPr>
        <w:t xml:space="preserve">           </w:t>
      </w:r>
    </w:p>
    <w:p>
      <w:pPr>
        <w:pStyle w:val="null3"/>
        <w:ind w:firstLine="880"/>
        <w:jc w:val="both"/>
      </w:pPr>
      <w:r>
        <w:rPr>
          <w:sz w:val="24"/>
          <w:color w:val="000000"/>
        </w:rPr>
        <w:t>地</w:t>
      </w:r>
      <w:r>
        <w:rPr>
          <w:sz w:val="24"/>
          <w:color w:val="000000"/>
        </w:rPr>
        <w:t xml:space="preserve">  </w:t>
      </w:r>
      <w:r>
        <w:rPr>
          <w:sz w:val="24"/>
          <w:color w:val="000000"/>
        </w:rPr>
        <w:t>址：</w:t>
      </w:r>
      <w:r>
        <w:rPr>
          <w:sz w:val="24"/>
          <w:color w:val="000000"/>
        </w:rPr>
        <w:t xml:space="preserve">   </w:t>
      </w:r>
    </w:p>
    <w:p>
      <w:pPr>
        <w:pStyle w:val="null3"/>
        <w:ind w:firstLine="880"/>
        <w:jc w:val="both"/>
      </w:pPr>
      <w:r>
        <w:rPr>
          <w:sz w:val="24"/>
          <w:color w:val="000000"/>
        </w:rPr>
        <w:t>项目名称：</w:t>
      </w:r>
      <w:r>
        <w:rPr>
          <w:sz w:val="24"/>
          <w:color w:val="000000"/>
        </w:rPr>
        <w:t xml:space="preserve">                                   </w:t>
      </w:r>
      <w:r>
        <w:rPr>
          <w:sz w:val="24"/>
          <w:color w:val="000000"/>
        </w:rPr>
        <w:t>采购编号：</w:t>
      </w:r>
      <w:r>
        <w:rPr>
          <w:sz w:val="24"/>
          <w:color w:val="000000"/>
        </w:rPr>
        <w:t xml:space="preserve">  </w:t>
      </w:r>
    </w:p>
    <w:p>
      <w:pPr>
        <w:pStyle w:val="null3"/>
        <w:ind w:firstLine="480"/>
        <w:jc w:val="both"/>
      </w:pPr>
      <w:r>
        <w:rPr>
          <w:sz w:val="24"/>
          <w:color w:val="000000"/>
        </w:rPr>
        <w:t>根据</w:t>
      </w:r>
      <w:r>
        <w:rPr>
          <w:sz w:val="24"/>
          <w:color w:val="000000"/>
          <w:u w:val="single"/>
        </w:rPr>
        <w:t xml:space="preserve">              </w:t>
      </w:r>
      <w:r>
        <w:rPr>
          <w:sz w:val="24"/>
          <w:color w:val="000000"/>
          <w:u w:val="single"/>
        </w:rPr>
        <w:t>项目</w:t>
      </w:r>
      <w:r>
        <w:rPr>
          <w:sz w:val="24"/>
          <w:color w:val="000000"/>
        </w:rPr>
        <w:t>的采购结果，按照《中华人民共和国政府采购法》、《</w:t>
      </w:r>
      <w:r>
        <w:rPr>
          <w:sz w:val="24"/>
          <w:color w:val="000000"/>
        </w:rPr>
        <w:t>中华人民共和国民法典</w:t>
      </w:r>
      <w:r>
        <w:rPr>
          <w:sz w:val="24"/>
          <w:color w:val="000000"/>
        </w:rPr>
        <w:t>》的规定，</w:t>
      </w:r>
      <w:r>
        <w:rPr>
          <w:sz w:val="24"/>
          <w:color w:val="000000"/>
        </w:rPr>
        <w:t>经双方协商，</w:t>
      </w:r>
      <w:r>
        <w:rPr>
          <w:sz w:val="24"/>
          <w:color w:val="000000"/>
        </w:rPr>
        <w:t>本着平等互利和诚实信用的原则，</w:t>
      </w:r>
      <w:r>
        <w:rPr>
          <w:sz w:val="24"/>
          <w:color w:val="000000"/>
        </w:rPr>
        <w:t>一致同意签订本合同如下</w:t>
      </w:r>
      <w:r>
        <w:rPr>
          <w:sz w:val="24"/>
          <w:color w:val="000000"/>
        </w:rPr>
        <w:t>。</w:t>
      </w:r>
    </w:p>
    <w:p>
      <w:pPr>
        <w:pStyle w:val="null3"/>
        <w:ind w:firstLine="880"/>
        <w:jc w:val="both"/>
      </w:pPr>
      <w:r>
        <w:rPr>
          <w:sz w:val="24"/>
          <w:b/>
          <w:color w:val="000000"/>
        </w:rPr>
        <w:t>一、合同金额</w:t>
      </w:r>
    </w:p>
    <w:p>
      <w:pPr>
        <w:pStyle w:val="null3"/>
        <w:ind w:firstLine="480"/>
        <w:jc w:val="both"/>
      </w:pPr>
      <w:r>
        <w:rPr>
          <w:sz w:val="24"/>
          <w:color w:val="000000"/>
        </w:rPr>
        <w:t>合同金额为（大写）：</w:t>
      </w:r>
      <w:r>
        <w:rPr>
          <w:sz w:val="24"/>
          <w:color w:val="000000"/>
        </w:rPr>
        <w:t>_________________元（￥_______________元）人民币。</w:t>
      </w:r>
    </w:p>
    <w:p>
      <w:pPr>
        <w:pStyle w:val="null3"/>
        <w:ind w:firstLine="880"/>
        <w:jc w:val="both"/>
      </w:pPr>
      <w:r>
        <w:rPr>
          <w:sz w:val="24"/>
          <w:b/>
          <w:color w:val="000000"/>
        </w:rPr>
        <w:t>二、服务范围</w:t>
      </w:r>
    </w:p>
    <w:p>
      <w:pPr>
        <w:pStyle w:val="null3"/>
        <w:ind w:firstLine="880"/>
        <w:jc w:val="both"/>
      </w:pPr>
      <w:r>
        <w:rPr>
          <w:sz w:val="24"/>
          <w:color w:val="000000"/>
        </w:rPr>
        <w:t>　　甲方聘请乙方提供以下服务：</w:t>
      </w:r>
    </w:p>
    <w:p>
      <w:pPr>
        <w:pStyle w:val="null3"/>
        <w:ind w:firstLine="880"/>
        <w:jc w:val="both"/>
      </w:pPr>
      <w:r>
        <w:rPr>
          <w:sz w:val="24"/>
          <w:color w:val="000000"/>
        </w:rPr>
        <w:t>1．本合同项下的服务指</w:t>
      </w:r>
      <w:r>
        <w:rPr>
          <w:sz w:val="24"/>
          <w:u w:val="single"/>
        </w:rPr>
        <w:t xml:space="preserve">                            </w:t>
      </w:r>
      <w:r>
        <w:rPr>
          <w:sz w:val="24"/>
          <w:color w:val="000000"/>
        </w:rPr>
        <w:t>。</w:t>
      </w:r>
    </w:p>
    <w:p>
      <w:pPr>
        <w:pStyle w:val="null3"/>
        <w:ind w:firstLine="880"/>
        <w:jc w:val="both"/>
      </w:pPr>
      <w:r>
        <w:rPr>
          <w:sz w:val="24"/>
          <w:color w:val="000000"/>
        </w:rPr>
        <w:t>2．......</w:t>
      </w:r>
    </w:p>
    <w:p>
      <w:pPr>
        <w:pStyle w:val="null3"/>
        <w:ind w:firstLine="880"/>
        <w:jc w:val="both"/>
      </w:pPr>
      <w:r>
        <w:rPr>
          <w:sz w:val="24"/>
          <w:b/>
          <w:color w:val="000000"/>
        </w:rPr>
        <w:t>三、甲方乙方的权利和义务</w:t>
      </w:r>
    </w:p>
    <w:p>
      <w:pPr>
        <w:pStyle w:val="null3"/>
        <w:ind w:firstLine="880"/>
        <w:jc w:val="both"/>
      </w:pPr>
      <w:r>
        <w:rPr>
          <w:sz w:val="24"/>
          <w:color w:val="000000"/>
        </w:rPr>
        <w:t>　　（一）</w:t>
      </w:r>
      <w:r>
        <w:rPr>
          <w:sz w:val="24"/>
          <w:color w:val="000000"/>
        </w:rPr>
        <w:t>甲方的权利和义务</w:t>
      </w:r>
    </w:p>
    <w:p>
      <w:pPr>
        <w:pStyle w:val="null3"/>
        <w:ind w:firstLine="880"/>
        <w:jc w:val="both"/>
      </w:pPr>
      <w:r>
        <w:rPr>
          <w:sz w:val="24"/>
          <w:color w:val="000000"/>
        </w:rPr>
        <w:t>　　（二）</w:t>
      </w:r>
      <w:r>
        <w:rPr>
          <w:sz w:val="24"/>
          <w:color w:val="000000"/>
        </w:rPr>
        <w:t>乙方的权利和义务</w:t>
      </w:r>
    </w:p>
    <w:p>
      <w:pPr>
        <w:pStyle w:val="null3"/>
        <w:ind w:firstLine="880"/>
        <w:jc w:val="both"/>
      </w:pPr>
      <w:r>
        <w:rPr>
          <w:sz w:val="24"/>
          <w:b/>
        </w:rPr>
        <w:t>四、服务时间：</w:t>
      </w:r>
      <w:r>
        <w:rPr>
          <w:sz w:val="24"/>
        </w:rPr>
        <w:t>合同生效之日起至本项目检测任务完成为止。具体开始工作的时间以书面通知为准，若工程施工工期滞后则本项目检测服务期顺延到所有内容进行完成为止。</w:t>
      </w:r>
    </w:p>
    <w:p>
      <w:pPr>
        <w:pStyle w:val="null3"/>
        <w:ind w:firstLine="880"/>
        <w:jc w:val="both"/>
      </w:pPr>
      <w:r>
        <w:rPr>
          <w:sz w:val="24"/>
          <w:b/>
        </w:rPr>
        <w:t>五、付款方式</w:t>
      </w:r>
    </w:p>
    <w:p>
      <w:pPr>
        <w:pStyle w:val="null3"/>
        <w:ind w:firstLine="880"/>
        <w:jc w:val="both"/>
      </w:pPr>
      <w:r>
        <w:rPr>
          <w:sz w:val="24"/>
        </w:rPr>
        <w:t>（</w:t>
      </w:r>
      <w:r>
        <w:rPr>
          <w:sz w:val="24"/>
        </w:rPr>
        <w:t>1）1期：支付比例30%，合同签订后15个工作日内，采购人向成交人支付合同总金额的30%的预付款；</w:t>
      </w:r>
    </w:p>
    <w:p>
      <w:pPr>
        <w:pStyle w:val="null3"/>
        <w:ind w:firstLine="880"/>
        <w:jc w:val="both"/>
      </w:pPr>
      <w:r>
        <w:rPr>
          <w:sz w:val="24"/>
        </w:rPr>
        <w:t>（</w:t>
      </w:r>
      <w:r>
        <w:rPr>
          <w:sz w:val="24"/>
        </w:rPr>
        <w:t>2）2期：支付比例70%，根据工程进度按月申请已完成的检测工作并出具检测报告的检测费用，以报告签收单为签证证明材料。</w:t>
      </w:r>
    </w:p>
    <w:p>
      <w:pPr>
        <w:pStyle w:val="null3"/>
        <w:ind w:firstLine="880"/>
        <w:jc w:val="both"/>
      </w:pPr>
      <w:r>
        <w:rPr>
          <w:sz w:val="24"/>
        </w:rPr>
        <w:t>成交供应商凭以下有效文件与采购人结算：</w:t>
      </w:r>
    </w:p>
    <w:p>
      <w:pPr>
        <w:pStyle w:val="null3"/>
        <w:ind w:firstLine="880"/>
        <w:jc w:val="both"/>
      </w:pPr>
      <w:r>
        <w:rPr>
          <w:sz w:val="24"/>
        </w:rPr>
        <w:t>1）合同；</w:t>
      </w:r>
    </w:p>
    <w:p>
      <w:pPr>
        <w:pStyle w:val="null3"/>
        <w:ind w:firstLine="880"/>
        <w:jc w:val="both"/>
      </w:pPr>
      <w:r>
        <w:rPr>
          <w:sz w:val="24"/>
        </w:rPr>
        <w:t>2）成交供应商开具的正式发票；</w:t>
      </w:r>
    </w:p>
    <w:p>
      <w:pPr>
        <w:pStyle w:val="null3"/>
        <w:ind w:firstLine="880"/>
        <w:jc w:val="both"/>
      </w:pPr>
      <w:r>
        <w:rPr>
          <w:sz w:val="24"/>
        </w:rPr>
        <w:t>3）成交通知书。</w:t>
      </w:r>
    </w:p>
    <w:p>
      <w:pPr>
        <w:pStyle w:val="null3"/>
        <w:ind w:firstLine="880"/>
        <w:jc w:val="both"/>
      </w:pPr>
      <w:r>
        <w:rPr>
          <w:sz w:val="24"/>
        </w:rPr>
        <w:t>如采购人使用的是财政资金，采购人在前款规定的付款时间为向政府采购支付部门提出办理财政支付申请手续的时间（不含政府财政支付部门审核的时间），在规定时间内提出视为采购人已完成支付，采购人不对财政支付时间作出承诺。</w:t>
      </w:r>
    </w:p>
    <w:p>
      <w:pPr>
        <w:pStyle w:val="null3"/>
        <w:ind w:firstLine="880"/>
        <w:jc w:val="both"/>
      </w:pPr>
      <w:r>
        <w:rPr>
          <w:sz w:val="24"/>
          <w:b/>
          <w:color w:val="000000"/>
        </w:rPr>
        <w:t>六、知识产权产权归属</w:t>
      </w:r>
    </w:p>
    <w:p>
      <w:pPr>
        <w:pStyle w:val="null3"/>
        <w:ind w:firstLine="880"/>
        <w:jc w:val="both"/>
      </w:pPr>
      <w:r>
        <w:rPr>
          <w:sz w:val="24"/>
          <w:b/>
          <w:color w:val="000000"/>
        </w:rPr>
        <w:t>七、保密</w:t>
      </w:r>
    </w:p>
    <w:p>
      <w:pPr>
        <w:pStyle w:val="null3"/>
        <w:ind w:firstLine="880"/>
        <w:jc w:val="both"/>
      </w:pPr>
      <w:r>
        <w:rPr>
          <w:sz w:val="24"/>
          <w:b/>
          <w:color w:val="000000"/>
        </w:rPr>
        <w:t>八、违约责任与赔偿损失</w:t>
      </w:r>
    </w:p>
    <w:p>
      <w:pPr>
        <w:pStyle w:val="null3"/>
        <w:ind w:firstLine="480"/>
        <w:jc w:val="both"/>
      </w:pPr>
      <w:r>
        <w:rPr>
          <w:sz w:val="24"/>
          <w:color w:val="000000"/>
        </w:rPr>
        <w:t>1) 乙方提供的服务不符合采购文件、响应文件或本合同规定的，甲方有权拒收，并且乙方须向甲方方支付本合同总价5%的违约金。</w:t>
      </w:r>
    </w:p>
    <w:p>
      <w:pPr>
        <w:pStyle w:val="null3"/>
        <w:ind w:firstLine="480"/>
        <w:jc w:val="both"/>
      </w:pPr>
      <w:r>
        <w:rPr>
          <w:sz w:val="24"/>
          <w:color w:val="000000"/>
        </w:rPr>
        <w:t>2) 乙方未能按本合同规定的交货时间提供服务，从逾期之日起每日按本合同总价3‰的数额向甲方支付违约金；逾期半个月以上的，甲方有权终止合同，由此造成的甲方经济损失由乙方承担。</w:t>
      </w:r>
    </w:p>
    <w:p>
      <w:pPr>
        <w:pStyle w:val="null3"/>
        <w:ind w:firstLine="480"/>
        <w:jc w:val="both"/>
      </w:pPr>
      <w:r>
        <w:rPr>
          <w:sz w:val="24"/>
          <w:color w:val="000000"/>
        </w:rPr>
        <w:t>3) 甲方无正当理由拒收接受服务，到期拒付服务款项的，甲方向乙方偿付本合同总的5%的违约金。甲方人逾期付款，则每日按本合同总价的3‰向乙方偿付违约金。</w:t>
      </w:r>
    </w:p>
    <w:p>
      <w:pPr>
        <w:pStyle w:val="null3"/>
        <w:ind w:firstLine="480"/>
        <w:jc w:val="both"/>
      </w:pPr>
      <w:r>
        <w:rPr>
          <w:sz w:val="24"/>
          <w:color w:val="000000"/>
        </w:rPr>
        <w:t>4) 其它违约责任按《中华人民共和国</w:t>
      </w:r>
      <w:r>
        <w:rPr>
          <w:sz w:val="24"/>
          <w:color w:val="000000"/>
        </w:rPr>
        <w:t>中华人民共和国民法典</w:t>
      </w:r>
      <w:r>
        <w:rPr>
          <w:sz w:val="24"/>
          <w:color w:val="000000"/>
        </w:rPr>
        <w:t>》处理。</w:t>
      </w:r>
    </w:p>
    <w:p>
      <w:pPr>
        <w:pStyle w:val="null3"/>
        <w:ind w:firstLine="880"/>
        <w:jc w:val="both"/>
      </w:pPr>
      <w:r>
        <w:rPr>
          <w:sz w:val="24"/>
          <w:b/>
          <w:color w:val="000000"/>
        </w:rPr>
        <w:t>九、争端的解决</w:t>
      </w:r>
    </w:p>
    <w:p>
      <w:pPr>
        <w:pStyle w:val="null3"/>
        <w:ind w:firstLine="880"/>
        <w:jc w:val="both"/>
      </w:pPr>
      <w:r>
        <w:rPr>
          <w:sz w:val="24"/>
          <w:color w:val="000000"/>
        </w:rPr>
        <w:t>1)合同执行过程中发生的任何争议，如双方不能通过友好协商解决，按相关法律法规处理。</w:t>
      </w:r>
    </w:p>
    <w:p>
      <w:pPr>
        <w:pStyle w:val="null3"/>
        <w:ind w:firstLine="880"/>
        <w:jc w:val="both"/>
      </w:pPr>
      <w:r>
        <w:rPr>
          <w:sz w:val="24"/>
          <w:b/>
          <w:color w:val="000000"/>
        </w:rPr>
        <w:t>十、不可抗力：</w:t>
      </w:r>
      <w:r>
        <w:rPr>
          <w:sz w:val="24"/>
          <w:color w:val="000000"/>
        </w:rPr>
        <w:t>任何一方由于不可抗力原因不能履行合同时，应在不可抗力事件结束后</w:t>
      </w:r>
      <w:r>
        <w:rPr>
          <w:sz w:val="24"/>
          <w:color w:val="000000"/>
        </w:rPr>
        <w:t>1日内向对方通报，以减轻可能给对方造成的损失，在取得有关机构的不可抗力证明或双方谅解确认后，允许延期履行或修订合同，并根据情况可部分或全部免于承担违约责任。</w:t>
      </w:r>
    </w:p>
    <w:p>
      <w:pPr>
        <w:pStyle w:val="null3"/>
        <w:ind w:firstLine="880"/>
        <w:jc w:val="both"/>
      </w:pPr>
      <w:r>
        <w:rPr>
          <w:sz w:val="24"/>
          <w:b/>
          <w:color w:val="000000"/>
        </w:rPr>
        <w:t>十一、税费：</w:t>
      </w:r>
      <w:r>
        <w:rPr>
          <w:sz w:val="24"/>
          <w:color w:val="000000"/>
        </w:rPr>
        <w:t>在中国境内、外发生的与本合同执行有关的一切税费均由乙方负担。</w:t>
      </w:r>
    </w:p>
    <w:p>
      <w:pPr>
        <w:pStyle w:val="null3"/>
        <w:ind w:firstLine="880"/>
        <w:jc w:val="both"/>
      </w:pPr>
      <w:r>
        <w:rPr>
          <w:sz w:val="24"/>
          <w:b/>
          <w:color w:val="000000"/>
        </w:rPr>
        <w:t>十二、其它</w:t>
      </w:r>
    </w:p>
    <w:p>
      <w:pPr>
        <w:pStyle w:val="null3"/>
        <w:ind w:firstLine="480"/>
        <w:jc w:val="both"/>
      </w:pPr>
      <w:r>
        <w:rPr>
          <w:sz w:val="24"/>
          <w:color w:val="000000"/>
        </w:rPr>
        <w:t>1) 本合同所有附件、采购文件、响应文件、成交通知书均为合同的有效组成部分，与本合同具有同等法律效力。</w:t>
      </w:r>
    </w:p>
    <w:p>
      <w:pPr>
        <w:pStyle w:val="null3"/>
        <w:ind w:firstLine="480"/>
        <w:jc w:val="both"/>
      </w:pPr>
      <w:r>
        <w:rPr>
          <w:sz w:val="24"/>
          <w:color w:val="000000"/>
        </w:rPr>
        <w:t>2) 在执行本合同的过程中，所有经双方签署确认的文件（包括会议纪要、补充协议、往来信函）即成为本合同的有效组成部分。</w:t>
      </w:r>
    </w:p>
    <w:p>
      <w:pPr>
        <w:pStyle w:val="null3"/>
        <w:ind w:firstLine="480"/>
        <w:jc w:val="both"/>
      </w:pPr>
      <w:r>
        <w:rPr>
          <w:sz w:val="24"/>
          <w:color w:val="000000"/>
        </w:rPr>
        <w:t>3) 如一方地址、电话、传真号码有变更，应在变更当日内书面通知对方，否则，应承担相应责任。</w:t>
      </w:r>
    </w:p>
    <w:p>
      <w:pPr>
        <w:pStyle w:val="null3"/>
        <w:ind w:firstLine="480"/>
        <w:jc w:val="both"/>
      </w:pPr>
      <w:r>
        <w:rPr>
          <w:sz w:val="24"/>
          <w:color w:val="000000"/>
        </w:rPr>
        <w:t>4) 除甲方事先书面同意外，乙方不得部分或全部转让其应履行的合同项下的义务。</w:t>
      </w:r>
    </w:p>
    <w:p>
      <w:pPr>
        <w:pStyle w:val="null3"/>
        <w:ind w:firstLine="880"/>
        <w:jc w:val="both"/>
      </w:pPr>
      <w:r>
        <w:rPr>
          <w:sz w:val="24"/>
          <w:b/>
          <w:color w:val="000000"/>
        </w:rPr>
        <w:t>十三、合同生效：</w:t>
      </w:r>
    </w:p>
    <w:p>
      <w:pPr>
        <w:pStyle w:val="null3"/>
        <w:ind w:firstLine="480"/>
        <w:jc w:val="both"/>
      </w:pPr>
      <w:r>
        <w:rPr>
          <w:sz w:val="24"/>
          <w:color w:val="000000"/>
        </w:rPr>
        <w:t>1）本合同在甲乙双方法人代表或其授权代表签字盖章后生效。</w:t>
      </w:r>
    </w:p>
    <w:p>
      <w:pPr>
        <w:pStyle w:val="null3"/>
        <w:ind w:firstLine="480"/>
        <w:jc w:val="both"/>
      </w:pPr>
      <w:r>
        <w:rPr>
          <w:sz w:val="24"/>
          <w:color w:val="000000"/>
        </w:rPr>
        <w:t>2）合同一式</w:t>
      </w:r>
      <w:r>
        <w:rPr>
          <w:sz w:val="24"/>
          <w:u w:val="single"/>
        </w:rPr>
        <w:t xml:space="preserve">    </w:t>
      </w:r>
      <w:r>
        <w:rPr>
          <w:sz w:val="24"/>
          <w:color w:val="000000"/>
        </w:rPr>
        <w:t>份。</w:t>
      </w:r>
    </w:p>
    <w:p>
      <w:pPr>
        <w:pStyle w:val="null3"/>
        <w:ind w:firstLine="880"/>
        <w:jc w:val="both"/>
      </w:pPr>
      <w:r>
        <w:rPr>
          <w:sz w:val="24"/>
          <w:b/>
          <w:color w:val="000000"/>
        </w:rPr>
        <w:t>甲方（盖章）：</w:t>
      </w:r>
      <w:r>
        <w:rPr>
          <w:sz w:val="24"/>
          <w:b/>
          <w:color w:val="000000"/>
        </w:rPr>
        <w:t xml:space="preserve">                          </w:t>
      </w:r>
      <w:r>
        <w:rPr>
          <w:sz w:val="24"/>
          <w:b/>
          <w:color w:val="000000"/>
        </w:rPr>
        <w:t>乙方（盖章）：</w:t>
      </w:r>
    </w:p>
    <w:p>
      <w:pPr>
        <w:pStyle w:val="null3"/>
        <w:ind w:firstLine="880"/>
        <w:jc w:val="both"/>
      </w:pPr>
      <w:r>
        <w:rPr>
          <w:sz w:val="24"/>
          <w:b/>
          <w:color w:val="000000"/>
        </w:rPr>
        <w:t>代表：</w:t>
      </w:r>
      <w:r>
        <w:rPr>
          <w:sz w:val="24"/>
          <w:b/>
          <w:color w:val="000000"/>
        </w:rPr>
        <w:t xml:space="preserve">                                  </w:t>
      </w:r>
      <w:r>
        <w:rPr>
          <w:sz w:val="24"/>
          <w:b/>
          <w:color w:val="000000"/>
        </w:rPr>
        <w:t>代表：</w:t>
      </w:r>
    </w:p>
    <w:p>
      <w:pPr>
        <w:pStyle w:val="null3"/>
        <w:ind w:firstLine="880"/>
        <w:jc w:val="both"/>
      </w:pPr>
      <w:r>
        <w:rPr>
          <w:sz w:val="24"/>
          <w:color w:val="000000"/>
        </w:rPr>
        <w:t>签定地点：</w:t>
      </w:r>
    </w:p>
    <w:p>
      <w:pPr>
        <w:pStyle w:val="null3"/>
        <w:ind w:firstLine="880"/>
        <w:jc w:val="both"/>
      </w:pPr>
      <w:r>
        <w:rPr>
          <w:sz w:val="24"/>
          <w:color w:val="000000"/>
        </w:rPr>
        <w:t>签定日期：</w:t>
      </w:r>
      <w:r>
        <w:rPr>
          <w:sz w:val="24"/>
          <w:color w:val="000000"/>
        </w:rPr>
        <w:t xml:space="preserve">  </w:t>
      </w:r>
      <w:r>
        <w:rPr>
          <w:sz w:val="24"/>
          <w:color w:val="000000"/>
        </w:rPr>
        <w:t>年</w:t>
      </w:r>
      <w:r>
        <w:rPr>
          <w:sz w:val="24"/>
          <w:color w:val="000000"/>
        </w:rPr>
        <w:t xml:space="preserve">   </w:t>
      </w:r>
      <w:r>
        <w:rPr>
          <w:sz w:val="24"/>
          <w:color w:val="000000"/>
        </w:rPr>
        <w:t>月</w:t>
      </w:r>
      <w:r>
        <w:rPr>
          <w:sz w:val="24"/>
          <w:color w:val="000000"/>
        </w:rPr>
        <w:t xml:space="preserve">   </w:t>
      </w:r>
      <w:r>
        <w:rPr>
          <w:sz w:val="24"/>
          <w:color w:val="000000"/>
        </w:rPr>
        <w:t>日</w:t>
      </w:r>
      <w:r>
        <w:rPr>
          <w:sz w:val="24"/>
          <w:color w:val="000000"/>
        </w:rPr>
        <w:t xml:space="preserve">                </w:t>
      </w:r>
      <w:r>
        <w:rPr>
          <w:sz w:val="24"/>
          <w:color w:val="000000"/>
        </w:rPr>
        <w:t>签定日期：</w:t>
      </w:r>
      <w:r>
        <w:rPr>
          <w:sz w:val="24"/>
          <w:color w:val="000000"/>
        </w:rPr>
        <w:t xml:space="preserve">    </w:t>
      </w:r>
      <w:r>
        <w:rPr>
          <w:sz w:val="24"/>
          <w:color w:val="000000"/>
        </w:rPr>
        <w:t>年</w:t>
      </w:r>
      <w:r>
        <w:rPr>
          <w:sz w:val="24"/>
          <w:color w:val="000000"/>
        </w:rPr>
        <w:t xml:space="preserve">   </w:t>
      </w:r>
      <w:r>
        <w:rPr>
          <w:sz w:val="24"/>
          <w:color w:val="000000"/>
        </w:rPr>
        <w:t>月</w:t>
      </w:r>
      <w:r>
        <w:rPr>
          <w:sz w:val="24"/>
          <w:color w:val="000000"/>
        </w:rPr>
        <w:t xml:space="preserve">   </w:t>
      </w:r>
      <w:r>
        <w:rPr>
          <w:sz w:val="24"/>
          <w:color w:val="000000"/>
        </w:rPr>
        <w:t>日</w:t>
      </w:r>
      <w:r>
        <w:rPr>
          <w:sz w:val="24"/>
          <w:color w:val="000000"/>
        </w:rPr>
        <w:t xml:space="preserve">   </w:t>
      </w:r>
    </w:p>
    <w:p>
      <w:pPr>
        <w:pStyle w:val="null3"/>
        <w:ind w:firstLine="880"/>
        <w:jc w:val="both"/>
      </w:pPr>
      <w:r>
        <w:rPr>
          <w:sz w:val="24"/>
          <w:color w:val="000000"/>
        </w:rPr>
        <w:t xml:space="preserve">                                                  开户名称：</w:t>
      </w:r>
    </w:p>
    <w:p>
      <w:pPr>
        <w:pStyle w:val="null3"/>
        <w:ind w:firstLine="880"/>
        <w:jc w:val="both"/>
      </w:pPr>
      <w:r>
        <w:rPr>
          <w:sz w:val="24"/>
          <w:color w:val="000000"/>
        </w:rPr>
        <w:t xml:space="preserve">                                                  </w:t>
      </w:r>
      <w:r>
        <w:rPr>
          <w:sz w:val="24"/>
          <w:color w:val="000000"/>
        </w:rPr>
        <w:t>银行帐号：</w:t>
      </w:r>
    </w:p>
    <w:p>
      <w:pPr>
        <w:pStyle w:val="null3"/>
        <w:ind w:left="480" w:firstLine="880"/>
        <w:jc w:val="both"/>
      </w:pPr>
      <w:r>
        <w:rPr>
          <w:sz w:val="24"/>
          <w:color w:val="000000"/>
        </w:rPr>
        <w:t xml:space="preserve">                                           </w:t>
      </w:r>
      <w:r>
        <w:rPr>
          <w:sz w:val="24"/>
          <w:color w:val="000000"/>
        </w:rPr>
        <w:t>开</w:t>
      </w:r>
      <w:r>
        <w:rPr>
          <w:sz w:val="24"/>
          <w:color w:val="000000"/>
        </w:rPr>
        <w:t>户</w:t>
      </w:r>
      <w:r>
        <w:rPr>
          <w:sz w:val="24"/>
          <w:color w:val="000000"/>
        </w:rPr>
        <w:t>行：</w:t>
      </w:r>
    </w:p>
    <w:p>
      <w:pPr>
        <w:pStyle w:val="null3"/>
        <w:spacing w:before="0" w:after="0"/>
        <w:ind w:left="0" w:right="0"/>
        <w:jc w:val="both"/>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441623-2025-01062</w:t>
      </w:r>
    </w:p>
    <w:p>
      <w:pPr>
        <w:pStyle w:val="null3"/>
        <w:jc w:val="center"/>
        <w:outlineLvl w:val="3"/>
      </w:pPr>
      <w:r>
        <w:rPr>
          <w:sz w:val="24"/>
          <w:b/>
        </w:rPr>
        <w:t>采购项目编号：</w:t>
      </w:r>
      <w:r>
        <w:rPr>
          <w:sz w:val="24"/>
          <w:b/>
        </w:rPr>
        <w:t>HYXQ20250701</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河源市新启项目咨询管理有限公司</w:t>
      </w:r>
    </w:p>
    <w:p>
      <w:pPr>
        <w:pStyle w:val="null3"/>
        <w:ind w:firstLine="480"/>
      </w:pPr>
      <w:r>
        <w:rPr/>
        <w:t xml:space="preserve"> 你方组织的</w:t>
      </w:r>
      <w:r>
        <w:rPr>
          <w:u w:val="single"/>
        </w:rPr>
        <w:t>“</w:t>
      </w:r>
      <w:r>
        <w:rPr>
          <w:u w:val="single"/>
        </w:rPr>
        <w:t>连平县陂头镇生态旅游示范区文化旅游基础设施建设项目检验检测费</w:t>
      </w:r>
      <w:r>
        <w:rPr>
          <w:u w:val="single"/>
        </w:rPr>
        <w:t>”</w:t>
      </w:r>
      <w:r>
        <w:rPr/>
        <w:t>项目的竞争性磋商[采购项目编号为：</w:t>
      </w:r>
      <w:r>
        <w:rPr>
          <w:u w:val="single"/>
        </w:rPr>
        <w:t>HYXQ20250701</w:t>
      </w:r>
      <w:r>
        <w:rPr/>
        <w:t>]，我方愿参与响应。</w:t>
      </w:r>
    </w:p>
    <w:p>
      <w:pPr>
        <w:pStyle w:val="null3"/>
        <w:ind w:firstLine="480"/>
      </w:pPr>
      <w:r>
        <w:rPr/>
        <w:t>我方确认收到贵方提供的</w:t>
      </w:r>
      <w:r>
        <w:rPr>
          <w:u w:val="single"/>
        </w:rPr>
        <w:t>“</w:t>
      </w:r>
      <w:r>
        <w:rPr>
          <w:u w:val="single"/>
        </w:rPr>
        <w:t>连平县陂头镇生态旅游示范区文化旅游基础设施建设项目检验检测费</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则贵方将不予退还响应保证金。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（十）我方与其他供应商不存在单位负责人为同一人或者存在直接控股、管理关系。</w:t>
      </w:r>
    </w:p>
    <w:p>
      <w:pPr>
        <w:pStyle w:val="null3"/>
        <w:ind w:firstLine="480"/>
      </w:pPr>
      <w:r>
        <w:rPr/>
        <w:t>（十一）我方承诺未为本项目提供整体设计、规范编制或者项目管理、监理、检测等服务。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（十五）我方对在本函及响应文件中所作的所有承诺承担法律责任。</w:t>
      </w:r>
    </w:p>
    <w:p>
      <w:pPr>
        <w:pStyle w:val="null3"/>
        <w:ind w:firstLine="480"/>
      </w:pPr>
      <w:r>
        <w:rPr/>
        <w:t>（十六）所有与本磋商有关的函件请发往下列地址：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河源市新启项目咨询管理有限公司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连平县陂头镇生态旅游示范区文化旅游基础设施建设项目检验检测费</w:t>
      </w:r>
      <w:r>
        <w:rPr/>
        <w:t>”项目采购[采购项目编号为</w:t>
      </w:r>
      <w:r>
        <w:rPr/>
        <w:t>HYXQ20250701</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连平县文化广电旅游体育局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河源市新启项目咨询管理有限公司</w:t>
      </w:r>
    </w:p>
    <w:p>
      <w:pPr>
        <w:pStyle w:val="null3"/>
        <w:ind w:firstLine="480"/>
      </w:pPr>
      <w:r>
        <w:rPr/>
        <w:t>我单位参加贵公司组织的</w:t>
      </w:r>
      <w:r>
        <w:rPr/>
        <w:t>连平县陂头镇生态旅游示范区文化旅游基础设施建设项目检验检测费</w:t>
      </w:r>
      <w:r>
        <w:rPr/>
        <w:t>（采购项目编号：</w:t>
      </w:r>
      <w:r>
        <w:rPr/>
        <w:t>HYXQ20250701</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河源市新启项目咨询管理有限公司</w:t>
      </w:r>
    </w:p>
    <w:p>
      <w:pPr>
        <w:pStyle w:val="null3"/>
        <w:ind w:firstLine="480"/>
      </w:pPr>
      <w:r>
        <w:rPr/>
        <w:t>我单位已登记并准备参与“</w:t>
      </w:r>
      <w:r>
        <w:rPr/>
        <w:t>连平县陂头镇生态旅游示范区文化旅游基础设施建设项目检验检测费</w:t>
      </w:r>
      <w:r>
        <w:rPr/>
        <w:t>”项目（采购项目编号：</w:t>
      </w:r>
      <w:r>
        <w:rPr/>
        <w:t>HYXQ20250701</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